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430E4" w14:textId="0C1CEF5E" w:rsidR="0016287A" w:rsidRPr="00E8337C" w:rsidRDefault="00E8337C" w:rsidP="00F23471">
      <w:pPr>
        <w:tabs>
          <w:tab w:val="right" w:pos="9781"/>
        </w:tabs>
        <w:rPr>
          <w:rFonts w:ascii="Arial" w:hAnsi="Arial" w:cs="Arial"/>
          <w:b/>
          <w:noProof/>
          <w:sz w:val="24"/>
          <w:szCs w:val="24"/>
          <w:highlight w:val="magenta"/>
        </w:rPr>
      </w:pPr>
      <w:r w:rsidRPr="00E8337C">
        <w:rPr>
          <w:rFonts w:ascii="Arial" w:hAnsi="Arial" w:cs="Arial"/>
          <w:b/>
          <w:bCs/>
          <w:sz w:val="24"/>
        </w:rPr>
        <w:t>3GPP SA WG2 Meeting #166-AdHoc-e</w:t>
      </w:r>
      <w:r w:rsidR="0016287A" w:rsidRPr="00E8337C">
        <w:rPr>
          <w:rFonts w:ascii="Arial" w:hAnsi="Arial" w:cs="Arial"/>
          <w:b/>
          <w:noProof/>
          <w:sz w:val="24"/>
          <w:szCs w:val="24"/>
        </w:rPr>
        <w:tab/>
      </w:r>
      <w:r w:rsidR="001465E7" w:rsidRPr="004826D0">
        <w:rPr>
          <w:rFonts w:ascii="Arial" w:hAnsi="Arial" w:cs="Arial"/>
          <w:b/>
          <w:noProof/>
          <w:sz w:val="24"/>
          <w:szCs w:val="24"/>
        </w:rPr>
        <w:t>S2-</w:t>
      </w:r>
      <w:bookmarkStart w:id="0" w:name="_GoBack"/>
      <w:bookmarkEnd w:id="0"/>
      <w:r w:rsidR="004826D0" w:rsidRPr="004826D0">
        <w:rPr>
          <w:rFonts w:ascii="Arial" w:hAnsi="Arial" w:cs="Arial"/>
          <w:b/>
          <w:noProof/>
          <w:sz w:val="24"/>
          <w:szCs w:val="24"/>
        </w:rPr>
        <w:t>2500979</w:t>
      </w:r>
    </w:p>
    <w:p w14:paraId="156442EB" w14:textId="2FC47760" w:rsidR="0016287A" w:rsidRPr="00471B80" w:rsidRDefault="00E8337C" w:rsidP="00F23471">
      <w:pPr>
        <w:pBdr>
          <w:bottom w:val="single" w:sz="4" w:space="1" w:color="auto"/>
        </w:pBdr>
        <w:tabs>
          <w:tab w:val="right" w:pos="9781"/>
        </w:tabs>
        <w:rPr>
          <w:rFonts w:ascii="Arial" w:hAnsi="Arial" w:cs="Arial"/>
          <w:b/>
          <w:noProof/>
          <w:sz w:val="24"/>
          <w:szCs w:val="24"/>
        </w:rPr>
      </w:pPr>
      <w:r w:rsidRPr="00E8337C">
        <w:rPr>
          <w:rFonts w:ascii="Arial" w:hAnsi="Arial" w:cs="Arial"/>
          <w:b/>
          <w:noProof/>
          <w:sz w:val="24"/>
          <w:szCs w:val="24"/>
        </w:rPr>
        <w:t>Electronic Meeting, 20-24 January 2025</w:t>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16287A" w:rsidRPr="00A4380C">
        <w:rPr>
          <w:rFonts w:ascii="Arial" w:hAnsi="Arial" w:cs="Arial"/>
          <w:b/>
          <w:noProof/>
          <w:color w:val="0000FF"/>
        </w:rPr>
        <w:tab/>
      </w:r>
    </w:p>
    <w:p w14:paraId="4267EBAA" w14:textId="2C3B0B99"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EC31ED" w:rsidRPr="0088705C">
        <w:rPr>
          <w:rFonts w:ascii="Arial" w:hAnsi="Arial" w:cs="Arial"/>
          <w:b/>
        </w:rPr>
        <w:t>Sateliot</w:t>
      </w:r>
      <w:r w:rsidR="0015496C" w:rsidRPr="0088705C">
        <w:rPr>
          <w:rFonts w:ascii="Arial" w:hAnsi="Arial" w:cs="Arial"/>
          <w:b/>
        </w:rPr>
        <w:t xml:space="preserve">, </w:t>
      </w:r>
      <w:r w:rsidR="001465E7" w:rsidRPr="0088705C">
        <w:rPr>
          <w:rFonts w:ascii="Arial" w:hAnsi="Arial" w:cs="Arial"/>
          <w:b/>
        </w:rPr>
        <w:t xml:space="preserve">Thales, </w:t>
      </w:r>
      <w:proofErr w:type="spellStart"/>
      <w:r w:rsidR="001465E7" w:rsidRPr="0088705C">
        <w:rPr>
          <w:rFonts w:ascii="Arial" w:hAnsi="Arial" w:cs="Arial"/>
          <w:b/>
        </w:rPr>
        <w:t>Novamint</w:t>
      </w:r>
      <w:proofErr w:type="spellEnd"/>
    </w:p>
    <w:p w14:paraId="27C8BEBD" w14:textId="41E71E86"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8337C">
        <w:rPr>
          <w:rFonts w:ascii="Arial" w:hAnsi="Arial" w:cs="Arial"/>
          <w:b/>
        </w:rPr>
        <w:t>O</w:t>
      </w:r>
      <w:r w:rsidR="008D47F6">
        <w:rPr>
          <w:rFonts w:ascii="Arial" w:hAnsi="Arial" w:cs="Arial"/>
          <w:b/>
        </w:rPr>
        <w:t xml:space="preserve">n </w:t>
      </w:r>
      <w:r w:rsidR="00ED73AC">
        <w:rPr>
          <w:rFonts w:ascii="Arial" w:hAnsi="Arial" w:cs="Arial"/>
          <w:b/>
        </w:rPr>
        <w:t xml:space="preserve">the </w:t>
      </w:r>
      <w:bookmarkStart w:id="1" w:name="_Hlk187567290"/>
      <w:r w:rsidR="00E8337C">
        <w:rPr>
          <w:rFonts w:ascii="Arial" w:hAnsi="Arial" w:cs="Arial"/>
          <w:b/>
        </w:rPr>
        <w:t xml:space="preserve">purpose and criticality of the </w:t>
      </w:r>
      <w:r w:rsidR="00EC31ED">
        <w:rPr>
          <w:rFonts w:ascii="Arial" w:hAnsi="Arial" w:cs="Arial"/>
          <w:b/>
        </w:rPr>
        <w:t xml:space="preserve">“List of Satellite IDs” and “S&amp;F Monitored </w:t>
      </w:r>
      <w:bookmarkEnd w:id="1"/>
      <w:r w:rsidR="00EC31ED">
        <w:rPr>
          <w:rFonts w:ascii="Arial" w:hAnsi="Arial" w:cs="Arial"/>
          <w:b/>
        </w:rPr>
        <w:t>List”</w:t>
      </w:r>
      <w:r w:rsidR="00E8337C">
        <w:rPr>
          <w:rFonts w:ascii="Arial" w:hAnsi="Arial" w:cs="Arial"/>
          <w:b/>
        </w:rPr>
        <w:t xml:space="preserve"> and proposal to specify separate lists. </w:t>
      </w:r>
    </w:p>
    <w:p w14:paraId="5B4A144D" w14:textId="18661D0F"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E8337C">
        <w:rPr>
          <w:rFonts w:ascii="Arial" w:hAnsi="Arial" w:cs="Arial"/>
          <w:b/>
        </w:rPr>
        <w:t>Discussion</w:t>
      </w:r>
      <w:r>
        <w:rPr>
          <w:rFonts w:ascii="Arial" w:hAnsi="Arial" w:cs="Arial"/>
          <w:b/>
        </w:rPr>
        <w:tab/>
      </w:r>
    </w:p>
    <w:p w14:paraId="43F9BE4A" w14:textId="40C0607E"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223BF7">
        <w:rPr>
          <w:rFonts w:ascii="Arial" w:hAnsi="Arial" w:cs="Arial"/>
          <w:b/>
        </w:rPr>
        <w:t>19</w:t>
      </w:r>
      <w:r w:rsidR="005B572C">
        <w:rPr>
          <w:rFonts w:ascii="Arial" w:hAnsi="Arial" w:cs="Arial"/>
          <w:b/>
        </w:rPr>
        <w:t>.</w:t>
      </w:r>
      <w:r w:rsidR="00EC31ED">
        <w:rPr>
          <w:rFonts w:ascii="Arial" w:hAnsi="Arial" w:cs="Arial"/>
          <w:b/>
        </w:rPr>
        <w:t>1</w:t>
      </w:r>
      <w:r w:rsidR="00F54A73">
        <w:rPr>
          <w:rFonts w:ascii="Arial" w:hAnsi="Arial" w:cs="Arial"/>
          <w:b/>
        </w:rPr>
        <w:t>.</w:t>
      </w:r>
      <w:r w:rsidR="00EC31ED">
        <w:rPr>
          <w:rFonts w:ascii="Arial" w:hAnsi="Arial" w:cs="Arial"/>
          <w:b/>
        </w:rPr>
        <w:t>2</w:t>
      </w:r>
    </w:p>
    <w:p w14:paraId="5F06016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34B0F">
        <w:rPr>
          <w:rFonts w:ascii="Arial" w:hAnsi="Arial" w:cs="Arial"/>
          <w:b/>
        </w:rPr>
        <w:t>5G</w:t>
      </w:r>
      <w:r w:rsidR="008D47F6">
        <w:rPr>
          <w:rFonts w:ascii="Arial" w:hAnsi="Arial" w:cs="Arial"/>
          <w:b/>
        </w:rPr>
        <w:t>SAT</w:t>
      </w:r>
      <w:r w:rsidR="00134B0F">
        <w:rPr>
          <w:rFonts w:ascii="Arial" w:hAnsi="Arial" w:cs="Arial"/>
          <w:b/>
        </w:rPr>
        <w:t>_</w:t>
      </w:r>
      <w:r w:rsidR="001430AB">
        <w:rPr>
          <w:rFonts w:ascii="Arial" w:hAnsi="Arial" w:cs="Arial"/>
          <w:b/>
        </w:rPr>
        <w:t>Ph3-ARC</w:t>
      </w:r>
      <w:r w:rsidR="00927D2C" w:rsidRPr="00927D2C">
        <w:rPr>
          <w:rFonts w:ascii="Arial" w:hAnsi="Arial" w:cs="Arial"/>
          <w:b/>
        </w:rPr>
        <w:t xml:space="preserve"> </w:t>
      </w:r>
      <w:r w:rsidR="001908FB">
        <w:rPr>
          <w:rFonts w:ascii="Arial" w:hAnsi="Arial" w:cs="Arial"/>
          <w:b/>
        </w:rPr>
        <w:t>/ Rel-1</w:t>
      </w:r>
      <w:r w:rsidR="005B572C">
        <w:rPr>
          <w:rFonts w:ascii="Arial" w:hAnsi="Arial" w:cs="Arial"/>
          <w:b/>
        </w:rPr>
        <w:t>9</w:t>
      </w:r>
    </w:p>
    <w:p w14:paraId="771BA6B6" w14:textId="77777777" w:rsidR="00E8337C" w:rsidRDefault="00E8337C" w:rsidP="001465E7">
      <w:pPr>
        <w:jc w:val="both"/>
        <w:rPr>
          <w:rFonts w:ascii="Arial" w:hAnsi="Arial" w:cs="Arial"/>
          <w:i/>
        </w:rPr>
      </w:pPr>
    </w:p>
    <w:p w14:paraId="4E0865D6" w14:textId="417A5015" w:rsidR="00E8337C" w:rsidRDefault="00440983" w:rsidP="001465E7">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D176E3" w:rsidRPr="004678AB">
        <w:rPr>
          <w:rFonts w:ascii="Arial" w:hAnsi="Arial" w:cs="Arial"/>
          <w:i/>
        </w:rPr>
        <w:t xml:space="preserve">This paper </w:t>
      </w:r>
      <w:r w:rsidR="001465E7">
        <w:rPr>
          <w:rFonts w:ascii="Arial" w:hAnsi="Arial" w:cs="Arial"/>
          <w:i/>
        </w:rPr>
        <w:t xml:space="preserve">discusses </w:t>
      </w:r>
      <w:r w:rsidR="00E8337C">
        <w:rPr>
          <w:rFonts w:ascii="Arial" w:hAnsi="Arial" w:cs="Arial"/>
          <w:i/>
        </w:rPr>
        <w:t xml:space="preserve">the </w:t>
      </w:r>
      <w:r w:rsidR="00E8337C" w:rsidRPr="00E8337C">
        <w:rPr>
          <w:rFonts w:ascii="Arial" w:hAnsi="Arial" w:cs="Arial"/>
          <w:i/>
        </w:rPr>
        <w:t xml:space="preserve">purpose and criticality of the “List of Satellite IDs” and </w:t>
      </w:r>
      <w:r w:rsidR="001465E7">
        <w:rPr>
          <w:rFonts w:ascii="Arial" w:hAnsi="Arial" w:cs="Arial"/>
          <w:i/>
        </w:rPr>
        <w:t>“</w:t>
      </w:r>
      <w:r w:rsidR="001465E7" w:rsidRPr="001465E7">
        <w:rPr>
          <w:rFonts w:ascii="Arial" w:hAnsi="Arial" w:cs="Arial"/>
          <w:i/>
        </w:rPr>
        <w:t>List of Satellite IDs” and “S&amp;F Monitored List”</w:t>
      </w:r>
      <w:r w:rsidR="001465E7">
        <w:rPr>
          <w:rFonts w:ascii="Arial" w:hAnsi="Arial" w:cs="Arial"/>
          <w:i/>
        </w:rPr>
        <w:t xml:space="preserve"> </w:t>
      </w:r>
      <w:r w:rsidR="00E8337C">
        <w:rPr>
          <w:rFonts w:ascii="Arial" w:hAnsi="Arial" w:cs="Arial"/>
          <w:i/>
        </w:rPr>
        <w:t xml:space="preserve">and makes a proposal for specification of two separate list, noting that the </w:t>
      </w:r>
      <w:r w:rsidR="00E8337C" w:rsidRPr="00E8337C">
        <w:rPr>
          <w:rFonts w:ascii="Arial" w:hAnsi="Arial" w:cs="Arial"/>
          <w:i/>
        </w:rPr>
        <w:t>“List of Satellite IDs”</w:t>
      </w:r>
      <w:r w:rsidR="00E8337C">
        <w:rPr>
          <w:rFonts w:ascii="Arial" w:hAnsi="Arial" w:cs="Arial"/>
          <w:i/>
        </w:rPr>
        <w:t xml:space="preserve"> is considered as critical to have to not impair network and UE operation while the </w:t>
      </w:r>
      <w:r w:rsidR="00E8337C" w:rsidRPr="001465E7">
        <w:rPr>
          <w:rFonts w:ascii="Arial" w:hAnsi="Arial" w:cs="Arial"/>
          <w:i/>
        </w:rPr>
        <w:t>“S&amp;F Monitored List”</w:t>
      </w:r>
      <w:r w:rsidR="00E8337C">
        <w:rPr>
          <w:rFonts w:ascii="Arial" w:hAnsi="Arial" w:cs="Arial"/>
          <w:i/>
        </w:rPr>
        <w:t xml:space="preserve"> is considered as nice to have to contribute to UE power optimization. </w:t>
      </w:r>
    </w:p>
    <w:p w14:paraId="2305FF7F" w14:textId="0BDF06E4" w:rsidR="0073440A" w:rsidRDefault="005741B2" w:rsidP="0073440A">
      <w:pPr>
        <w:pStyle w:val="Ttulo1"/>
      </w:pPr>
      <w:r>
        <w:t>1</w:t>
      </w:r>
      <w:r>
        <w:tab/>
      </w:r>
      <w:r w:rsidR="0073440A">
        <w:t>Discussion</w:t>
      </w:r>
    </w:p>
    <w:p w14:paraId="28F2A8DC" w14:textId="71046828" w:rsidR="00EC31ED" w:rsidRDefault="00BC6747" w:rsidP="00E8337C">
      <w:pPr>
        <w:jc w:val="both"/>
        <w:rPr>
          <w:rFonts w:ascii="Arial" w:hAnsi="Arial" w:cs="Arial"/>
        </w:rPr>
      </w:pPr>
      <w:r w:rsidRPr="00E8337C">
        <w:rPr>
          <w:rFonts w:ascii="Arial" w:hAnsi="Arial" w:cs="Arial"/>
          <w:bCs/>
        </w:rPr>
        <w:t xml:space="preserve">The completion of the functional specification of the “List of </w:t>
      </w:r>
      <w:proofErr w:type="spellStart"/>
      <w:r w:rsidRPr="00E8337C">
        <w:rPr>
          <w:rFonts w:ascii="Arial" w:hAnsi="Arial" w:cs="Arial"/>
          <w:bCs/>
        </w:rPr>
        <w:t>satelliteID</w:t>
      </w:r>
      <w:proofErr w:type="spellEnd"/>
      <w:r w:rsidRPr="00E8337C">
        <w:rPr>
          <w:rFonts w:ascii="Arial" w:hAnsi="Arial" w:cs="Arial"/>
          <w:bCs/>
        </w:rPr>
        <w:t xml:space="preserve">(s)” and “S&amp;F Monitoring List” features as per conclusions in TR 23.700-29 is one of the objectives agreed </w:t>
      </w:r>
      <w:r w:rsidRPr="00E8337C">
        <w:rPr>
          <w:rFonts w:ascii="Arial" w:hAnsi="Arial" w:cs="Arial"/>
        </w:rPr>
        <w:t>as part of the Exception Sheet for 5GSAT_Ph3-ARC WI</w:t>
      </w:r>
      <w:r w:rsidR="00E8337C">
        <w:rPr>
          <w:rFonts w:ascii="Arial" w:hAnsi="Arial" w:cs="Arial"/>
        </w:rPr>
        <w:t xml:space="preserve">. Table 1 below provides an except of the Exception List for WT2, highlighting in yellow the part of the work that is not complete, consequences if not included and contentious issues related to the specification of the S&amp;F satellite lists.  </w:t>
      </w:r>
    </w:p>
    <w:p w14:paraId="68298151" w14:textId="09775E0A" w:rsidR="00E8337C" w:rsidRPr="00E8337C" w:rsidRDefault="00E8337C" w:rsidP="00EC31ED">
      <w:pPr>
        <w:rPr>
          <w:rFonts w:ascii="Arial" w:hAnsi="Arial" w:cs="Arial"/>
        </w:rPr>
      </w:pPr>
      <w:r w:rsidRPr="001E6612">
        <w:rPr>
          <w:rFonts w:ascii="Arial" w:hAnsi="Arial" w:cs="Arial"/>
          <w:b/>
          <w:bCs/>
        </w:rPr>
        <w:t>Table 1.</w:t>
      </w:r>
      <w:r>
        <w:rPr>
          <w:rFonts w:ascii="Arial" w:hAnsi="Arial" w:cs="Arial"/>
        </w:rPr>
        <w:t xml:space="preserve"> Excerpt from Exception List (</w:t>
      </w:r>
      <w:hyperlink r:id="rId14" w:history="1">
        <w:r w:rsidRPr="00E8337C">
          <w:rPr>
            <w:rStyle w:val="Hipervnculo"/>
            <w:rFonts w:ascii="Arial" w:hAnsi="Arial" w:cs="Arial"/>
          </w:rPr>
          <w:t>SP-241918</w:t>
        </w:r>
      </w:hyperlink>
      <w:r>
        <w:rPr>
          <w:rFonts w:ascii="Arial" w:hAnsi="Arial" w:cs="Arial"/>
        </w:rPr>
        <w:t>)</w:t>
      </w:r>
    </w:p>
    <w:tbl>
      <w:tblPr>
        <w:tblStyle w:val="Tablaconcuadrcula"/>
        <w:tblW w:w="0" w:type="auto"/>
        <w:tblLook w:val="04A0" w:firstRow="1" w:lastRow="0" w:firstColumn="1" w:lastColumn="0" w:noHBand="0" w:noVBand="1"/>
      </w:tblPr>
      <w:tblGrid>
        <w:gridCol w:w="9629"/>
      </w:tblGrid>
      <w:tr w:rsidR="00BC6747" w14:paraId="32DA66F8" w14:textId="77777777" w:rsidTr="00BC6747">
        <w:tc>
          <w:tcPr>
            <w:tcW w:w="9629" w:type="dxa"/>
          </w:tcPr>
          <w:p w14:paraId="0E2A5131" w14:textId="77777777" w:rsidR="00BC6747" w:rsidRDefault="00BC6747" w:rsidP="00BC6747">
            <w:pPr>
              <w:pStyle w:val="ndice1"/>
              <w:rPr>
                <w:b/>
              </w:rPr>
            </w:pPr>
          </w:p>
          <w:p w14:paraId="1B02DEBE" w14:textId="7494DE8A" w:rsidR="00BC6747" w:rsidRPr="00E8337C" w:rsidRDefault="00BC6747" w:rsidP="00BC6747">
            <w:pPr>
              <w:pStyle w:val="ndice1"/>
              <w:rPr>
                <w:i/>
                <w:iCs/>
              </w:rPr>
            </w:pPr>
            <w:r w:rsidRPr="00E8337C">
              <w:rPr>
                <w:b/>
                <w:i/>
                <w:iCs/>
              </w:rPr>
              <w:t>Task(s) within work which are not complete:</w:t>
            </w:r>
          </w:p>
          <w:p w14:paraId="5827E47B" w14:textId="77777777" w:rsidR="00BC6747" w:rsidRPr="00E8337C" w:rsidRDefault="00BC6747" w:rsidP="00BC6747">
            <w:pPr>
              <w:pStyle w:val="ndice1"/>
              <w:rPr>
                <w:bCs/>
                <w:i/>
                <w:iCs/>
              </w:rPr>
            </w:pPr>
            <w:r w:rsidRPr="00E8337C">
              <w:rPr>
                <w:i/>
                <w:iCs/>
              </w:rPr>
              <w:t>WT2: "Support of Store and Forward satellite operation". Points not completed:</w:t>
            </w:r>
          </w:p>
          <w:p w14:paraId="0D752B23" w14:textId="77777777" w:rsidR="00BC6747" w:rsidRPr="00E8337C" w:rsidRDefault="00BC6747" w:rsidP="00BC6747">
            <w:pPr>
              <w:pStyle w:val="ndice1"/>
              <w:numPr>
                <w:ilvl w:val="0"/>
                <w:numId w:val="47"/>
              </w:numPr>
              <w:rPr>
                <w:bCs/>
                <w:i/>
                <w:iCs/>
                <w:highlight w:val="yellow"/>
              </w:rPr>
            </w:pPr>
            <w:r w:rsidRPr="00E8337C">
              <w:rPr>
                <w:bCs/>
                <w:i/>
                <w:iCs/>
                <w:highlight w:val="yellow"/>
              </w:rPr>
              <w:t xml:space="preserve">(2a) – Functional specification of the “List of </w:t>
            </w:r>
            <w:proofErr w:type="spellStart"/>
            <w:r w:rsidRPr="00E8337C">
              <w:rPr>
                <w:bCs/>
                <w:i/>
                <w:iCs/>
                <w:highlight w:val="yellow"/>
              </w:rPr>
              <w:t>satelliteID</w:t>
            </w:r>
            <w:proofErr w:type="spellEnd"/>
            <w:r w:rsidRPr="00E8337C">
              <w:rPr>
                <w:bCs/>
                <w:i/>
                <w:iCs/>
                <w:highlight w:val="yellow"/>
              </w:rPr>
              <w:t>(s)” and “S&amp;F Monitoring List” features as per conclusions in TR 23.700-29</w:t>
            </w:r>
          </w:p>
          <w:p w14:paraId="63049922" w14:textId="77777777" w:rsidR="00BC6747" w:rsidRPr="00E8337C" w:rsidRDefault="00BC6747" w:rsidP="00BC6747">
            <w:pPr>
              <w:pStyle w:val="ndice1"/>
              <w:numPr>
                <w:ilvl w:val="0"/>
                <w:numId w:val="47"/>
              </w:numPr>
              <w:rPr>
                <w:bCs/>
                <w:i/>
                <w:iCs/>
              </w:rPr>
            </w:pPr>
            <w:r w:rsidRPr="00E8337C">
              <w:rPr>
                <w:bCs/>
                <w:i/>
                <w:iCs/>
              </w:rPr>
              <w:t>(2b) – Functional specification of expected UE and network behaviour when transitioning between operation in S&amp;F mode and operation in normal mode</w:t>
            </w:r>
          </w:p>
          <w:p w14:paraId="427388C4" w14:textId="77777777" w:rsidR="00BC6747" w:rsidRPr="00E8337C" w:rsidRDefault="00BC6747" w:rsidP="00BC6747">
            <w:pPr>
              <w:pStyle w:val="ndice1"/>
              <w:numPr>
                <w:ilvl w:val="0"/>
                <w:numId w:val="47"/>
              </w:numPr>
              <w:rPr>
                <w:bCs/>
                <w:i/>
                <w:iCs/>
              </w:rPr>
            </w:pPr>
            <w:r w:rsidRPr="00E8337C">
              <w:rPr>
                <w:bCs/>
                <w:i/>
                <w:iCs/>
              </w:rPr>
              <w:t>(2c) – Document in Informative annex for split-MME deployment that; support of Attach with PDN connection is handled based on implementation between the MME on board and ground CN entities.</w:t>
            </w:r>
          </w:p>
          <w:p w14:paraId="655291C1" w14:textId="77777777" w:rsidR="00BC6747" w:rsidRPr="00E8337C" w:rsidRDefault="00BC6747" w:rsidP="00BC6747">
            <w:pPr>
              <w:rPr>
                <w:b/>
                <w:i/>
                <w:iCs/>
              </w:rPr>
            </w:pPr>
          </w:p>
          <w:p w14:paraId="2BAE8F0D" w14:textId="77777777" w:rsidR="00BC6747" w:rsidRPr="00E8337C" w:rsidRDefault="00BC6747" w:rsidP="00BC6747">
            <w:pPr>
              <w:rPr>
                <w:b/>
                <w:i/>
                <w:iCs/>
              </w:rPr>
            </w:pPr>
            <w:r w:rsidRPr="00E8337C">
              <w:rPr>
                <w:b/>
                <w:i/>
                <w:iCs/>
              </w:rPr>
              <w:t>Consequences if not included in Release 19:</w:t>
            </w:r>
          </w:p>
          <w:p w14:paraId="62B2BBD0" w14:textId="77777777" w:rsidR="00BC6747" w:rsidRPr="00E8337C" w:rsidRDefault="00BC6747" w:rsidP="00BC6747">
            <w:pPr>
              <w:spacing w:after="0"/>
              <w:rPr>
                <w:i/>
                <w:iCs/>
                <w:color w:val="auto"/>
                <w:lang w:eastAsia="en-US"/>
              </w:rPr>
            </w:pPr>
            <w:r w:rsidRPr="00E8337C">
              <w:rPr>
                <w:i/>
                <w:iCs/>
                <w:lang w:eastAsia="ko-KR"/>
              </w:rPr>
              <w:t>S&amp;F satellite operation feature not completed</w:t>
            </w:r>
            <w:r w:rsidRPr="00E8337C">
              <w:rPr>
                <w:i/>
                <w:iCs/>
              </w:rPr>
              <w:t>. In particular:</w:t>
            </w:r>
          </w:p>
          <w:p w14:paraId="7DDC0F72" w14:textId="77777777" w:rsidR="00BC6747" w:rsidRPr="00E8337C" w:rsidRDefault="00BC6747" w:rsidP="00BC6747">
            <w:pPr>
              <w:numPr>
                <w:ilvl w:val="0"/>
                <w:numId w:val="48"/>
              </w:numPr>
              <w:spacing w:after="0"/>
              <w:ind w:left="360"/>
              <w:textAlignment w:val="auto"/>
              <w:rPr>
                <w:i/>
                <w:iCs/>
                <w:highlight w:val="yellow"/>
              </w:rPr>
            </w:pPr>
            <w:r w:rsidRPr="00E8337C">
              <w:rPr>
                <w:i/>
                <w:iCs/>
                <w:highlight w:val="yellow"/>
              </w:rPr>
              <w:t xml:space="preserve">If (2a) is not included, the UE context synchronisation across multiple satellites is challenging for split-MME based deployments.  </w:t>
            </w:r>
          </w:p>
          <w:p w14:paraId="7E499666" w14:textId="77777777" w:rsidR="00BC6747" w:rsidRPr="00E8337C" w:rsidRDefault="00BC6747" w:rsidP="00BC6747">
            <w:pPr>
              <w:numPr>
                <w:ilvl w:val="0"/>
                <w:numId w:val="48"/>
              </w:numPr>
              <w:spacing w:after="0"/>
              <w:ind w:left="360"/>
              <w:textAlignment w:val="auto"/>
              <w:rPr>
                <w:i/>
                <w:iCs/>
              </w:rPr>
            </w:pPr>
            <w:r w:rsidRPr="00E8337C">
              <w:rPr>
                <w:i/>
                <w:iCs/>
              </w:rPr>
              <w:t>If (2b) is not specified, the UE and network expected behaviour when transitioning between operation in S&amp;F mode and non-S&amp;F remains undefined and may lead to mis-operation.</w:t>
            </w:r>
          </w:p>
          <w:p w14:paraId="681BCF59" w14:textId="77777777" w:rsidR="00BC6747" w:rsidRPr="00E8337C" w:rsidRDefault="00BC6747" w:rsidP="00BC6747">
            <w:pPr>
              <w:numPr>
                <w:ilvl w:val="0"/>
                <w:numId w:val="48"/>
              </w:numPr>
              <w:spacing w:after="0"/>
              <w:ind w:left="360"/>
              <w:textAlignment w:val="auto"/>
              <w:rPr>
                <w:i/>
                <w:iCs/>
              </w:rPr>
            </w:pPr>
            <w:r w:rsidRPr="00E8337C">
              <w:rPr>
                <w:i/>
                <w:iCs/>
              </w:rPr>
              <w:t>If (2c) is not addressed, the specification will remain unclear/ambiguous. No normative impacts are expected</w:t>
            </w:r>
          </w:p>
          <w:p w14:paraId="0DEE72C2" w14:textId="77777777" w:rsidR="00BC6747" w:rsidRPr="00E8337C" w:rsidRDefault="00BC6747" w:rsidP="00BC6747">
            <w:pPr>
              <w:spacing w:after="0"/>
              <w:textAlignment w:val="auto"/>
              <w:rPr>
                <w:rFonts w:eastAsia="SimSun"/>
                <w:b/>
                <w:i/>
                <w:iCs/>
                <w:lang w:eastAsia="zh-CN"/>
              </w:rPr>
            </w:pPr>
          </w:p>
          <w:p w14:paraId="0FB545C2" w14:textId="77777777" w:rsidR="00BC6747" w:rsidRPr="00E8337C" w:rsidRDefault="00BC6747" w:rsidP="00BC6747">
            <w:pPr>
              <w:spacing w:after="0"/>
              <w:textAlignment w:val="auto"/>
              <w:rPr>
                <w:rFonts w:eastAsia="SimSun"/>
                <w:b/>
                <w:i/>
                <w:iCs/>
                <w:lang w:eastAsia="zh-CN"/>
              </w:rPr>
            </w:pPr>
            <w:r w:rsidRPr="00E8337C">
              <w:rPr>
                <w:rFonts w:eastAsia="SimSun"/>
                <w:b/>
                <w:i/>
                <w:iCs/>
                <w:lang w:eastAsia="zh-CN"/>
              </w:rPr>
              <w:t>Contentious issues:</w:t>
            </w:r>
          </w:p>
          <w:p w14:paraId="3841EFAE" w14:textId="77777777" w:rsidR="00BC6747" w:rsidRPr="00E8337C" w:rsidRDefault="00BC6747" w:rsidP="00BC6747">
            <w:pPr>
              <w:spacing w:after="0"/>
              <w:textAlignment w:val="auto"/>
              <w:rPr>
                <w:i/>
                <w:i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160"/>
              <w:gridCol w:w="6790"/>
            </w:tblGrid>
            <w:tr w:rsidR="00BC6747" w:rsidRPr="00E8337C" w14:paraId="4F6697AB" w14:textId="77777777" w:rsidTr="00AA7844">
              <w:tc>
                <w:tcPr>
                  <w:tcW w:w="1435" w:type="dxa"/>
                  <w:tcBorders>
                    <w:top w:val="single" w:sz="4" w:space="0" w:color="auto"/>
                    <w:left w:val="single" w:sz="4" w:space="0" w:color="auto"/>
                    <w:bottom w:val="single" w:sz="4" w:space="0" w:color="auto"/>
                    <w:right w:val="single" w:sz="4" w:space="0" w:color="auto"/>
                  </w:tcBorders>
                  <w:hideMark/>
                </w:tcPr>
                <w:p w14:paraId="5494B5A2" w14:textId="77777777" w:rsidR="00BC6747" w:rsidRPr="00E8337C" w:rsidRDefault="00BC6747" w:rsidP="00BC6747">
                  <w:pPr>
                    <w:pStyle w:val="ndice1"/>
                    <w:rPr>
                      <w:rFonts w:eastAsia="SimSun"/>
                      <w:b/>
                      <w:i/>
                      <w:iCs/>
                      <w:lang w:eastAsia="zh-CN"/>
                    </w:rPr>
                  </w:pPr>
                  <w:r w:rsidRPr="00E8337C">
                    <w:rPr>
                      <w:rFonts w:eastAsia="SimSun"/>
                      <w:b/>
                      <w:i/>
                      <w:iCs/>
                      <w:lang w:eastAsia="zh-CN"/>
                    </w:rPr>
                    <w:lastRenderedPageBreak/>
                    <w:t>WT</w:t>
                  </w:r>
                </w:p>
              </w:tc>
              <w:tc>
                <w:tcPr>
                  <w:tcW w:w="1161" w:type="dxa"/>
                  <w:tcBorders>
                    <w:top w:val="single" w:sz="4" w:space="0" w:color="auto"/>
                    <w:left w:val="single" w:sz="4" w:space="0" w:color="auto"/>
                    <w:bottom w:val="single" w:sz="4" w:space="0" w:color="auto"/>
                    <w:right w:val="single" w:sz="4" w:space="0" w:color="auto"/>
                  </w:tcBorders>
                  <w:hideMark/>
                </w:tcPr>
                <w:p w14:paraId="6808F65E" w14:textId="77777777" w:rsidR="00BC6747" w:rsidRPr="00E8337C" w:rsidRDefault="00BC6747" w:rsidP="00BC6747">
                  <w:pPr>
                    <w:pStyle w:val="ndice1"/>
                    <w:rPr>
                      <w:rFonts w:eastAsia="SimSun"/>
                      <w:b/>
                      <w:i/>
                      <w:iCs/>
                      <w:lang w:eastAsia="zh-CN"/>
                    </w:rPr>
                  </w:pPr>
                  <w:r w:rsidRPr="00E8337C">
                    <w:rPr>
                      <w:rFonts w:eastAsia="SimSun"/>
                      <w:b/>
                      <w:i/>
                      <w:iCs/>
                      <w:lang w:eastAsia="zh-CN"/>
                    </w:rPr>
                    <w:t>Points pending completion</w:t>
                  </w:r>
                </w:p>
              </w:tc>
              <w:tc>
                <w:tcPr>
                  <w:tcW w:w="6995" w:type="dxa"/>
                  <w:tcBorders>
                    <w:top w:val="single" w:sz="4" w:space="0" w:color="auto"/>
                    <w:left w:val="single" w:sz="4" w:space="0" w:color="auto"/>
                    <w:bottom w:val="single" w:sz="4" w:space="0" w:color="auto"/>
                    <w:right w:val="single" w:sz="4" w:space="0" w:color="auto"/>
                  </w:tcBorders>
                  <w:hideMark/>
                </w:tcPr>
                <w:p w14:paraId="3AE07148" w14:textId="77777777" w:rsidR="00BC6747" w:rsidRPr="00E8337C" w:rsidRDefault="00BC6747" w:rsidP="00BC6747">
                  <w:pPr>
                    <w:pStyle w:val="ndice1"/>
                    <w:rPr>
                      <w:rFonts w:eastAsia="SimSun"/>
                      <w:b/>
                      <w:i/>
                      <w:iCs/>
                      <w:lang w:eastAsia="zh-CN"/>
                    </w:rPr>
                  </w:pPr>
                  <w:r w:rsidRPr="00E8337C">
                    <w:rPr>
                      <w:rFonts w:eastAsia="SimSun"/>
                      <w:b/>
                      <w:i/>
                      <w:iCs/>
                      <w:lang w:eastAsia="zh-CN"/>
                    </w:rPr>
                    <w:t>Contentious issue</w:t>
                  </w:r>
                </w:p>
              </w:tc>
            </w:tr>
            <w:tr w:rsidR="00BC6747" w:rsidRPr="00E8337C" w14:paraId="604BA0B9" w14:textId="77777777" w:rsidTr="00AA7844">
              <w:tc>
                <w:tcPr>
                  <w:tcW w:w="1435" w:type="dxa"/>
                  <w:vMerge w:val="restart"/>
                  <w:tcBorders>
                    <w:top w:val="single" w:sz="4" w:space="0" w:color="auto"/>
                    <w:left w:val="single" w:sz="4" w:space="0" w:color="auto"/>
                    <w:bottom w:val="single" w:sz="4" w:space="0" w:color="auto"/>
                    <w:right w:val="single" w:sz="4" w:space="0" w:color="auto"/>
                  </w:tcBorders>
                  <w:hideMark/>
                </w:tcPr>
                <w:p w14:paraId="2DD56406" w14:textId="77777777" w:rsidR="00BC6747" w:rsidRPr="00E8337C" w:rsidRDefault="00BC6747" w:rsidP="00BC6747">
                  <w:pPr>
                    <w:pStyle w:val="ndice1"/>
                    <w:rPr>
                      <w:rFonts w:eastAsia="SimSun"/>
                      <w:i/>
                      <w:iCs/>
                      <w:lang w:eastAsia="zh-CN"/>
                    </w:rPr>
                  </w:pPr>
                  <w:r w:rsidRPr="00E8337C">
                    <w:rPr>
                      <w:rFonts w:eastAsia="SimSun"/>
                      <w:i/>
                      <w:iCs/>
                      <w:lang w:eastAsia="zh-CN"/>
                    </w:rPr>
                    <w:t>WT2 - Support of Store and Forward satellite operation</w:t>
                  </w:r>
                </w:p>
              </w:tc>
              <w:tc>
                <w:tcPr>
                  <w:tcW w:w="1161" w:type="dxa"/>
                  <w:tcBorders>
                    <w:top w:val="single" w:sz="4" w:space="0" w:color="auto"/>
                    <w:left w:val="single" w:sz="4" w:space="0" w:color="auto"/>
                    <w:bottom w:val="single" w:sz="4" w:space="0" w:color="auto"/>
                    <w:right w:val="single" w:sz="4" w:space="0" w:color="auto"/>
                  </w:tcBorders>
                  <w:hideMark/>
                </w:tcPr>
                <w:p w14:paraId="6E6AF90B" w14:textId="77777777" w:rsidR="00BC6747" w:rsidRPr="00E8337C" w:rsidRDefault="00BC6747" w:rsidP="00BC6747">
                  <w:pPr>
                    <w:pStyle w:val="ndice1"/>
                    <w:rPr>
                      <w:rFonts w:eastAsia="SimSun"/>
                      <w:i/>
                      <w:iCs/>
                      <w:lang w:eastAsia="zh-CN"/>
                    </w:rPr>
                  </w:pPr>
                  <w:r w:rsidRPr="00E8337C">
                    <w:rPr>
                      <w:rFonts w:eastAsia="SimSun"/>
                      <w:i/>
                      <w:iCs/>
                      <w:lang w:eastAsia="zh-CN"/>
                    </w:rPr>
                    <w:t>(2a)</w:t>
                  </w:r>
                </w:p>
              </w:tc>
              <w:tc>
                <w:tcPr>
                  <w:tcW w:w="6995" w:type="dxa"/>
                  <w:tcBorders>
                    <w:top w:val="single" w:sz="4" w:space="0" w:color="auto"/>
                    <w:left w:val="single" w:sz="4" w:space="0" w:color="auto"/>
                    <w:bottom w:val="single" w:sz="4" w:space="0" w:color="auto"/>
                    <w:right w:val="single" w:sz="4" w:space="0" w:color="auto"/>
                  </w:tcBorders>
                  <w:hideMark/>
                </w:tcPr>
                <w:p w14:paraId="18E1040C" w14:textId="77777777" w:rsidR="00BC6747" w:rsidRPr="00E8337C" w:rsidRDefault="00BC6747" w:rsidP="00BC6747">
                  <w:pPr>
                    <w:pStyle w:val="ndice1"/>
                    <w:rPr>
                      <w:rFonts w:eastAsia="SimSun"/>
                      <w:i/>
                      <w:iCs/>
                      <w:highlight w:val="yellow"/>
                      <w:lang w:eastAsia="zh-CN"/>
                    </w:rPr>
                  </w:pPr>
                  <w:r w:rsidRPr="00E8337C">
                    <w:rPr>
                      <w:rFonts w:eastAsia="SimSun"/>
                      <w:i/>
                      <w:iCs/>
                      <w:highlight w:val="yellow"/>
                      <w:lang w:eastAsia="zh-CN"/>
                    </w:rPr>
                    <w:t>Different options have been discussed whether using one or two separate lists, adding “advisory”</w:t>
                  </w:r>
                  <w:proofErr w:type="gramStart"/>
                  <w:r w:rsidRPr="00E8337C">
                    <w:rPr>
                      <w:rFonts w:eastAsia="SimSun"/>
                      <w:i/>
                      <w:iCs/>
                      <w:highlight w:val="yellow"/>
                      <w:lang w:eastAsia="zh-CN"/>
                    </w:rPr>
                    <w:t>/”mandatory</w:t>
                  </w:r>
                  <w:proofErr w:type="gramEnd"/>
                  <w:r w:rsidRPr="00E8337C">
                    <w:rPr>
                      <w:rFonts w:eastAsia="SimSun"/>
                      <w:i/>
                      <w:iCs/>
                      <w:highlight w:val="yellow"/>
                      <w:lang w:eastAsia="zh-CN"/>
                    </w:rPr>
                    <w:t xml:space="preserve">” indication in the list, specifying “shall or ”should” or may” UE behaviours). </w:t>
                  </w:r>
                </w:p>
                <w:p w14:paraId="0B650D50" w14:textId="77777777" w:rsidR="00BC6747" w:rsidRPr="00E8337C" w:rsidRDefault="00BC6747" w:rsidP="00BC6747">
                  <w:pPr>
                    <w:pStyle w:val="ndice1"/>
                    <w:rPr>
                      <w:rFonts w:eastAsia="SimSun"/>
                      <w:i/>
                      <w:iCs/>
                      <w:highlight w:val="yellow"/>
                      <w:lang w:eastAsia="zh-CN"/>
                    </w:rPr>
                  </w:pPr>
                  <w:r w:rsidRPr="00E8337C">
                    <w:rPr>
                      <w:rFonts w:eastAsia="SimSun"/>
                      <w:i/>
                      <w:iCs/>
                      <w:highlight w:val="yellow"/>
                      <w:lang w:eastAsia="zh-CN"/>
                    </w:rPr>
                    <w:t xml:space="preserve">Further discussion is needed. </w:t>
                  </w:r>
                </w:p>
                <w:p w14:paraId="3EBC7E72" w14:textId="77777777" w:rsidR="00BC6747" w:rsidRPr="00E8337C" w:rsidRDefault="00BC6747" w:rsidP="00BC6747">
                  <w:pPr>
                    <w:pStyle w:val="ndice1"/>
                    <w:rPr>
                      <w:rFonts w:eastAsia="SimSun"/>
                      <w:i/>
                      <w:iCs/>
                      <w:lang w:eastAsia="zh-CN"/>
                    </w:rPr>
                  </w:pPr>
                  <w:r w:rsidRPr="00E8337C">
                    <w:rPr>
                      <w:rFonts w:eastAsia="SimSun"/>
                      <w:i/>
                      <w:iCs/>
                      <w:highlight w:val="yellow"/>
                      <w:lang w:eastAsia="zh-CN"/>
                    </w:rPr>
                    <w:t>Risk to not complete this during the extension is low.</w:t>
                  </w:r>
                </w:p>
              </w:tc>
            </w:tr>
            <w:tr w:rsidR="00BC6747" w:rsidRPr="00E8337C" w14:paraId="5248E1D1" w14:textId="77777777" w:rsidTr="00AA7844">
              <w:tc>
                <w:tcPr>
                  <w:tcW w:w="0" w:type="auto"/>
                  <w:vMerge/>
                  <w:tcBorders>
                    <w:top w:val="single" w:sz="4" w:space="0" w:color="auto"/>
                    <w:left w:val="single" w:sz="4" w:space="0" w:color="auto"/>
                    <w:bottom w:val="single" w:sz="4" w:space="0" w:color="auto"/>
                    <w:right w:val="single" w:sz="4" w:space="0" w:color="auto"/>
                  </w:tcBorders>
                  <w:vAlign w:val="center"/>
                  <w:hideMark/>
                </w:tcPr>
                <w:p w14:paraId="5061B3B8" w14:textId="77777777" w:rsidR="00BC6747" w:rsidRPr="00E8337C" w:rsidRDefault="00BC6747" w:rsidP="00BC6747">
                  <w:pPr>
                    <w:overflowPunct/>
                    <w:autoSpaceDE/>
                    <w:autoSpaceDN/>
                    <w:adjustRightInd/>
                    <w:spacing w:after="0"/>
                    <w:rPr>
                      <w:rFonts w:eastAsia="SimSun"/>
                      <w:i/>
                      <w:iCs/>
                      <w:lang w:eastAsia="zh-CN"/>
                    </w:rPr>
                  </w:pPr>
                </w:p>
              </w:tc>
              <w:tc>
                <w:tcPr>
                  <w:tcW w:w="1161" w:type="dxa"/>
                  <w:tcBorders>
                    <w:top w:val="single" w:sz="4" w:space="0" w:color="auto"/>
                    <w:left w:val="single" w:sz="4" w:space="0" w:color="auto"/>
                    <w:bottom w:val="single" w:sz="4" w:space="0" w:color="auto"/>
                    <w:right w:val="single" w:sz="4" w:space="0" w:color="auto"/>
                  </w:tcBorders>
                  <w:hideMark/>
                </w:tcPr>
                <w:p w14:paraId="4F3883DE" w14:textId="77777777" w:rsidR="00BC6747" w:rsidRPr="00E8337C" w:rsidRDefault="00BC6747" w:rsidP="00BC6747">
                  <w:pPr>
                    <w:pStyle w:val="ndice1"/>
                    <w:rPr>
                      <w:rFonts w:eastAsia="SimSun"/>
                      <w:i/>
                      <w:iCs/>
                      <w:lang w:eastAsia="zh-CN"/>
                    </w:rPr>
                  </w:pPr>
                  <w:r w:rsidRPr="00E8337C">
                    <w:rPr>
                      <w:rFonts w:eastAsia="SimSun"/>
                      <w:i/>
                      <w:iCs/>
                      <w:lang w:eastAsia="zh-CN"/>
                    </w:rPr>
                    <w:t xml:space="preserve">(2b) </w:t>
                  </w:r>
                </w:p>
              </w:tc>
              <w:tc>
                <w:tcPr>
                  <w:tcW w:w="6995" w:type="dxa"/>
                  <w:tcBorders>
                    <w:top w:val="single" w:sz="4" w:space="0" w:color="auto"/>
                    <w:left w:val="single" w:sz="4" w:space="0" w:color="auto"/>
                    <w:bottom w:val="single" w:sz="4" w:space="0" w:color="auto"/>
                    <w:right w:val="single" w:sz="4" w:space="0" w:color="auto"/>
                  </w:tcBorders>
                  <w:hideMark/>
                </w:tcPr>
                <w:p w14:paraId="4627B650" w14:textId="77777777" w:rsidR="00BC6747" w:rsidRPr="00E8337C" w:rsidRDefault="00BC6747" w:rsidP="00BC6747">
                  <w:pPr>
                    <w:pStyle w:val="ndice1"/>
                    <w:rPr>
                      <w:rFonts w:eastAsia="SimSun"/>
                      <w:i/>
                      <w:iCs/>
                      <w:lang w:eastAsia="zh-CN"/>
                    </w:rPr>
                  </w:pPr>
                  <w:r w:rsidRPr="00E8337C">
                    <w:rPr>
                      <w:rFonts w:eastAsia="SimSun"/>
                      <w:i/>
                      <w:iCs/>
                      <w:lang w:eastAsia="zh-CN"/>
                    </w:rPr>
                    <w:t xml:space="preserve">None expected. However, further discussion is needed once the different features (S&amp;F Wait Timer, S&amp;F Satellite List(s)) get consolidated.  </w:t>
                  </w:r>
                </w:p>
                <w:p w14:paraId="7C89ECA8" w14:textId="77777777" w:rsidR="00BC6747" w:rsidRPr="00E8337C" w:rsidRDefault="00BC6747" w:rsidP="00BC6747">
                  <w:pPr>
                    <w:pStyle w:val="ndice1"/>
                    <w:rPr>
                      <w:rFonts w:eastAsia="SimSun"/>
                      <w:i/>
                      <w:iCs/>
                      <w:lang w:eastAsia="zh-CN"/>
                    </w:rPr>
                  </w:pPr>
                  <w:r w:rsidRPr="00E8337C">
                    <w:rPr>
                      <w:rFonts w:eastAsia="SimSun"/>
                      <w:i/>
                      <w:iCs/>
                      <w:lang w:eastAsia="zh-CN"/>
                    </w:rPr>
                    <w:t>Risk to not complete this during the extension is low.</w:t>
                  </w:r>
                </w:p>
              </w:tc>
            </w:tr>
            <w:tr w:rsidR="00BC6747" w:rsidRPr="00E8337C" w14:paraId="596011D0" w14:textId="77777777" w:rsidTr="00AA7844">
              <w:tc>
                <w:tcPr>
                  <w:tcW w:w="0" w:type="auto"/>
                  <w:vMerge/>
                  <w:tcBorders>
                    <w:top w:val="single" w:sz="4" w:space="0" w:color="auto"/>
                    <w:left w:val="single" w:sz="4" w:space="0" w:color="auto"/>
                    <w:bottom w:val="single" w:sz="4" w:space="0" w:color="auto"/>
                    <w:right w:val="single" w:sz="4" w:space="0" w:color="auto"/>
                  </w:tcBorders>
                  <w:vAlign w:val="center"/>
                  <w:hideMark/>
                </w:tcPr>
                <w:p w14:paraId="510BE145" w14:textId="77777777" w:rsidR="00BC6747" w:rsidRPr="00E8337C" w:rsidRDefault="00BC6747" w:rsidP="00BC6747">
                  <w:pPr>
                    <w:overflowPunct/>
                    <w:autoSpaceDE/>
                    <w:autoSpaceDN/>
                    <w:adjustRightInd/>
                    <w:spacing w:after="0"/>
                    <w:rPr>
                      <w:rFonts w:eastAsia="SimSun"/>
                      <w:i/>
                      <w:iCs/>
                      <w:lang w:eastAsia="zh-CN"/>
                    </w:rPr>
                  </w:pPr>
                </w:p>
              </w:tc>
              <w:tc>
                <w:tcPr>
                  <w:tcW w:w="1161" w:type="dxa"/>
                  <w:tcBorders>
                    <w:top w:val="single" w:sz="4" w:space="0" w:color="auto"/>
                    <w:left w:val="single" w:sz="4" w:space="0" w:color="auto"/>
                    <w:bottom w:val="single" w:sz="4" w:space="0" w:color="auto"/>
                    <w:right w:val="single" w:sz="4" w:space="0" w:color="auto"/>
                  </w:tcBorders>
                  <w:hideMark/>
                </w:tcPr>
                <w:p w14:paraId="4FCE05CF" w14:textId="77777777" w:rsidR="00BC6747" w:rsidRPr="00E8337C" w:rsidRDefault="00BC6747" w:rsidP="00BC6747">
                  <w:pPr>
                    <w:pStyle w:val="ndice1"/>
                    <w:rPr>
                      <w:rFonts w:eastAsia="SimSun"/>
                      <w:i/>
                      <w:iCs/>
                      <w:lang w:eastAsia="zh-CN"/>
                    </w:rPr>
                  </w:pPr>
                  <w:r w:rsidRPr="00E8337C">
                    <w:rPr>
                      <w:rFonts w:eastAsia="SimSun"/>
                      <w:i/>
                      <w:iCs/>
                      <w:lang w:eastAsia="zh-CN"/>
                    </w:rPr>
                    <w:t xml:space="preserve">(2c) </w:t>
                  </w:r>
                </w:p>
              </w:tc>
              <w:tc>
                <w:tcPr>
                  <w:tcW w:w="6995" w:type="dxa"/>
                  <w:tcBorders>
                    <w:top w:val="single" w:sz="4" w:space="0" w:color="auto"/>
                    <w:left w:val="single" w:sz="4" w:space="0" w:color="auto"/>
                    <w:bottom w:val="single" w:sz="4" w:space="0" w:color="auto"/>
                    <w:right w:val="single" w:sz="4" w:space="0" w:color="auto"/>
                  </w:tcBorders>
                </w:tcPr>
                <w:p w14:paraId="2DC1A5B3" w14:textId="77777777" w:rsidR="00BC6747" w:rsidRPr="00E8337C" w:rsidRDefault="00BC6747" w:rsidP="00BC6747">
                  <w:pPr>
                    <w:spacing w:after="0"/>
                    <w:rPr>
                      <w:i/>
                      <w:iCs/>
                      <w:lang w:eastAsia="en-US"/>
                    </w:rPr>
                  </w:pPr>
                  <w:r w:rsidRPr="00E8337C">
                    <w:rPr>
                      <w:i/>
                      <w:iCs/>
                    </w:rPr>
                    <w:t>The specification will remain unclear/ambiguous. No normative impacts are expected</w:t>
                  </w:r>
                </w:p>
                <w:p w14:paraId="78FE9326" w14:textId="77777777" w:rsidR="00BC6747" w:rsidRPr="00E8337C" w:rsidRDefault="00BC6747" w:rsidP="00BC6747">
                  <w:pPr>
                    <w:rPr>
                      <w:rFonts w:eastAsia="SimSun"/>
                      <w:i/>
                      <w:iCs/>
                      <w:lang w:eastAsia="zh-CN"/>
                    </w:rPr>
                  </w:pPr>
                </w:p>
              </w:tc>
            </w:tr>
          </w:tbl>
          <w:p w14:paraId="55983FE3" w14:textId="77777777" w:rsidR="00BC6747" w:rsidRPr="00E8337C" w:rsidRDefault="00BC6747" w:rsidP="00BC6747">
            <w:pPr>
              <w:rPr>
                <w:rFonts w:ascii="Arial" w:hAnsi="Arial" w:cs="Arial"/>
                <w:i/>
                <w:iCs/>
                <w:lang w:eastAsia="zh-CN"/>
              </w:rPr>
            </w:pPr>
          </w:p>
          <w:p w14:paraId="2633F8BE" w14:textId="77777777" w:rsidR="00BC6747" w:rsidRDefault="00BC6747" w:rsidP="008D47F6">
            <w:pPr>
              <w:rPr>
                <w:rFonts w:ascii="Arial" w:hAnsi="Arial" w:cs="Arial"/>
                <w:lang w:eastAsia="zh-CN"/>
              </w:rPr>
            </w:pPr>
          </w:p>
        </w:tc>
      </w:tr>
    </w:tbl>
    <w:p w14:paraId="0472338B" w14:textId="77777777" w:rsidR="00BC6747" w:rsidRDefault="00BC6747" w:rsidP="008D47F6">
      <w:pPr>
        <w:rPr>
          <w:rFonts w:ascii="Arial" w:hAnsi="Arial" w:cs="Arial"/>
          <w:lang w:eastAsia="zh-CN"/>
        </w:rPr>
      </w:pPr>
    </w:p>
    <w:p w14:paraId="742E70A3" w14:textId="19A2BAEC" w:rsidR="00E8337C" w:rsidRDefault="00EC31ED" w:rsidP="00E8337C">
      <w:pPr>
        <w:jc w:val="both"/>
        <w:rPr>
          <w:rFonts w:ascii="Arial" w:hAnsi="Arial" w:cs="Arial"/>
          <w:lang w:eastAsia="zh-CN"/>
        </w:rPr>
      </w:pPr>
      <w:r>
        <w:rPr>
          <w:rFonts w:ascii="Arial" w:hAnsi="Arial" w:cs="Arial"/>
          <w:lang w:eastAsia="zh-CN"/>
        </w:rPr>
        <w:t xml:space="preserve">In our view, </w:t>
      </w:r>
      <w:r w:rsidR="0037162C">
        <w:rPr>
          <w:rFonts w:ascii="Arial" w:hAnsi="Arial" w:cs="Arial"/>
          <w:lang w:eastAsia="zh-CN"/>
        </w:rPr>
        <w:t xml:space="preserve">to progress on that issue, it’s </w:t>
      </w:r>
      <w:r w:rsidR="00E8337C">
        <w:rPr>
          <w:rFonts w:ascii="Arial" w:hAnsi="Arial" w:cs="Arial"/>
          <w:lang w:eastAsia="zh-CN"/>
        </w:rPr>
        <w:t>fundamental</w:t>
      </w:r>
      <w:r w:rsidR="0037162C">
        <w:rPr>
          <w:rFonts w:ascii="Arial" w:hAnsi="Arial" w:cs="Arial"/>
          <w:lang w:eastAsia="zh-CN"/>
        </w:rPr>
        <w:t xml:space="preserve"> to distinguish between </w:t>
      </w:r>
      <w:r w:rsidR="00E8337C">
        <w:rPr>
          <w:rFonts w:ascii="Arial" w:hAnsi="Arial" w:cs="Arial"/>
          <w:lang w:eastAsia="zh-CN"/>
        </w:rPr>
        <w:t xml:space="preserve">the </w:t>
      </w:r>
      <w:r w:rsidR="00696B77">
        <w:rPr>
          <w:rFonts w:ascii="Arial" w:hAnsi="Arial" w:cs="Arial"/>
          <w:lang w:eastAsia="zh-CN"/>
        </w:rPr>
        <w:t>purpose and criticality</w:t>
      </w:r>
      <w:r w:rsidR="0037162C">
        <w:rPr>
          <w:rFonts w:ascii="Arial" w:hAnsi="Arial" w:cs="Arial"/>
          <w:lang w:eastAsia="zh-CN"/>
        </w:rPr>
        <w:t xml:space="preserve"> of the </w:t>
      </w:r>
      <w:r w:rsidR="00E8337C">
        <w:rPr>
          <w:rFonts w:ascii="Arial" w:hAnsi="Arial" w:cs="Arial"/>
          <w:lang w:eastAsia="zh-CN"/>
        </w:rPr>
        <w:t xml:space="preserve">two lists, which indeed were proposed separately for each of the two architectural options considered in the work (i.e. </w:t>
      </w:r>
      <w:r>
        <w:rPr>
          <w:rFonts w:ascii="Arial" w:hAnsi="Arial" w:cs="Arial"/>
          <w:lang w:eastAsia="zh-CN"/>
        </w:rPr>
        <w:t xml:space="preserve">“List of Satellite IDs” </w:t>
      </w:r>
      <w:r w:rsidR="0037162C">
        <w:rPr>
          <w:rFonts w:ascii="Arial" w:hAnsi="Arial" w:cs="Arial"/>
          <w:lang w:eastAsia="zh-CN"/>
        </w:rPr>
        <w:t xml:space="preserve">information element </w:t>
      </w:r>
      <w:r w:rsidR="00E8337C">
        <w:rPr>
          <w:rFonts w:ascii="Arial" w:hAnsi="Arial" w:cs="Arial"/>
          <w:lang w:eastAsia="zh-CN"/>
        </w:rPr>
        <w:t xml:space="preserve">was </w:t>
      </w:r>
      <w:r>
        <w:rPr>
          <w:rFonts w:ascii="Arial" w:hAnsi="Arial" w:cs="Arial"/>
          <w:lang w:eastAsia="zh-CN"/>
        </w:rPr>
        <w:t xml:space="preserve">proposed for the split-MME architecture </w:t>
      </w:r>
      <w:r w:rsidR="0037162C">
        <w:rPr>
          <w:rFonts w:ascii="Arial" w:hAnsi="Arial" w:cs="Arial"/>
          <w:lang w:eastAsia="zh-CN"/>
        </w:rPr>
        <w:t xml:space="preserve">and the </w:t>
      </w:r>
      <w:r>
        <w:rPr>
          <w:rFonts w:ascii="Arial" w:hAnsi="Arial" w:cs="Arial"/>
          <w:lang w:eastAsia="zh-CN"/>
        </w:rPr>
        <w:t xml:space="preserve">“S&amp;F Monitored List” </w:t>
      </w:r>
      <w:r w:rsidR="00E8337C">
        <w:rPr>
          <w:rFonts w:ascii="Arial" w:hAnsi="Arial" w:cs="Arial"/>
          <w:lang w:eastAsia="zh-CN"/>
        </w:rPr>
        <w:t xml:space="preserve">was </w:t>
      </w:r>
      <w:r>
        <w:rPr>
          <w:rFonts w:ascii="Arial" w:hAnsi="Arial" w:cs="Arial"/>
          <w:lang w:eastAsia="zh-CN"/>
        </w:rPr>
        <w:t>proposed for the full EPC onboard architecture</w:t>
      </w:r>
      <w:r w:rsidR="00E8337C">
        <w:rPr>
          <w:rFonts w:ascii="Arial" w:hAnsi="Arial" w:cs="Arial"/>
          <w:lang w:eastAsia="zh-CN"/>
        </w:rPr>
        <w:t xml:space="preserve">) but that both ended up being referred to using the single term of “S&amp;F Monitored List”, which in our opinion is what has created the inconsistencies and controversy when trying to specify a single list to obey to the two original distinct purposes.  </w:t>
      </w:r>
    </w:p>
    <w:p w14:paraId="52FE7343" w14:textId="519A801C" w:rsidR="00696B77" w:rsidRDefault="00BC6747" w:rsidP="008D47F6">
      <w:pPr>
        <w:rPr>
          <w:rFonts w:ascii="Arial" w:hAnsi="Arial" w:cs="Arial"/>
          <w:lang w:eastAsia="zh-CN"/>
        </w:rPr>
      </w:pPr>
      <w:r>
        <w:rPr>
          <w:rFonts w:ascii="Arial" w:hAnsi="Arial" w:cs="Arial"/>
          <w:lang w:eastAsia="zh-CN"/>
        </w:rPr>
        <w:t>A first discussion on the differences between the two list</w:t>
      </w:r>
      <w:r w:rsidR="00E8337C">
        <w:rPr>
          <w:rFonts w:ascii="Arial" w:hAnsi="Arial" w:cs="Arial"/>
          <w:lang w:eastAsia="zh-CN"/>
        </w:rPr>
        <w:t>s</w:t>
      </w:r>
      <w:r>
        <w:rPr>
          <w:rFonts w:ascii="Arial" w:hAnsi="Arial" w:cs="Arial"/>
          <w:lang w:eastAsia="zh-CN"/>
        </w:rPr>
        <w:t xml:space="preserve"> was conducted in </w:t>
      </w:r>
      <w:r w:rsidR="00E8337C">
        <w:rPr>
          <w:rFonts w:ascii="Arial" w:hAnsi="Arial" w:cs="Arial"/>
          <w:lang w:eastAsia="zh-CN"/>
        </w:rPr>
        <w:t>a previous paper in SA2#166 (</w:t>
      </w:r>
      <w:r w:rsidRPr="00BC6747">
        <w:rPr>
          <w:rFonts w:ascii="Arial" w:hAnsi="Arial" w:cs="Arial"/>
          <w:lang w:eastAsia="zh-CN"/>
        </w:rPr>
        <w:t>S2-2412119</w:t>
      </w:r>
      <w:r w:rsidR="00E8337C">
        <w:rPr>
          <w:rFonts w:ascii="Arial" w:hAnsi="Arial" w:cs="Arial"/>
          <w:lang w:eastAsia="zh-CN"/>
        </w:rPr>
        <w:t>)</w:t>
      </w:r>
      <w:r w:rsidRPr="00BC6747">
        <w:rPr>
          <w:rFonts w:ascii="Arial" w:hAnsi="Arial" w:cs="Arial"/>
          <w:lang w:eastAsia="zh-CN"/>
        </w:rPr>
        <w:t>.</w:t>
      </w:r>
      <w:r w:rsidR="00E8337C">
        <w:rPr>
          <w:rFonts w:ascii="Arial" w:hAnsi="Arial" w:cs="Arial"/>
          <w:lang w:eastAsia="zh-CN"/>
        </w:rPr>
        <w:t xml:space="preserve"> </w:t>
      </w:r>
      <w:r w:rsidRPr="00BC6747">
        <w:rPr>
          <w:rFonts w:ascii="Arial" w:hAnsi="Arial" w:cs="Arial"/>
          <w:lang w:eastAsia="zh-CN"/>
        </w:rPr>
        <w:t xml:space="preserve">An extension and consolidation of such discussion is provided in </w:t>
      </w:r>
      <w:r w:rsidR="00E8337C">
        <w:rPr>
          <w:rFonts w:ascii="Arial" w:hAnsi="Arial" w:cs="Arial"/>
          <w:lang w:eastAsia="zh-CN"/>
        </w:rPr>
        <w:t xml:space="preserve">Table 2, highlighting the distinct purpose and criticality of the two lists. </w:t>
      </w:r>
    </w:p>
    <w:p w14:paraId="7565E951" w14:textId="71900286" w:rsidR="00696B77" w:rsidRDefault="00696B77" w:rsidP="008D47F6">
      <w:pPr>
        <w:rPr>
          <w:rFonts w:ascii="Arial" w:hAnsi="Arial" w:cs="Arial"/>
          <w:lang w:eastAsia="zh-CN"/>
        </w:rPr>
      </w:pPr>
    </w:p>
    <w:p w14:paraId="55CB2779" w14:textId="54269BA4" w:rsidR="00E8337C" w:rsidRPr="00E8337C" w:rsidRDefault="00E8337C" w:rsidP="00E8337C">
      <w:pPr>
        <w:rPr>
          <w:rFonts w:ascii="Arial" w:hAnsi="Arial" w:cs="Arial"/>
        </w:rPr>
      </w:pPr>
      <w:r w:rsidRPr="001E6612">
        <w:rPr>
          <w:rFonts w:ascii="Arial" w:hAnsi="Arial" w:cs="Arial"/>
          <w:b/>
          <w:bCs/>
        </w:rPr>
        <w:t>Table 2.</w:t>
      </w:r>
      <w:r>
        <w:rPr>
          <w:rFonts w:ascii="Arial" w:hAnsi="Arial" w:cs="Arial"/>
        </w:rPr>
        <w:t xml:space="preserve"> </w:t>
      </w:r>
      <w:r w:rsidR="001E6612" w:rsidRPr="001E6612">
        <w:rPr>
          <w:rFonts w:ascii="Arial" w:hAnsi="Arial" w:cs="Arial"/>
        </w:rPr>
        <w:t>Assessment of the purpose and criticality of the (1) “List of Satellite IDs” information element proposed for the split-MME architecture and (2) the “S&amp;F Monitored List” proposed for the full EPC onboard architecture.</w:t>
      </w:r>
    </w:p>
    <w:tbl>
      <w:tblPr>
        <w:tblStyle w:val="Tablaconcuadrcula"/>
        <w:tblW w:w="0" w:type="auto"/>
        <w:tblLook w:val="04A0" w:firstRow="1" w:lastRow="0" w:firstColumn="1" w:lastColumn="0" w:noHBand="0" w:noVBand="1"/>
      </w:tblPr>
      <w:tblGrid>
        <w:gridCol w:w="1311"/>
        <w:gridCol w:w="5063"/>
        <w:gridCol w:w="3255"/>
      </w:tblGrid>
      <w:tr w:rsidR="0060646B" w14:paraId="652EFFE1" w14:textId="1EDBE8D9" w:rsidTr="0060646B">
        <w:tc>
          <w:tcPr>
            <w:tcW w:w="1311" w:type="dxa"/>
            <w:shd w:val="clear" w:color="auto" w:fill="DEEAF6" w:themeFill="accent5" w:themeFillTint="33"/>
          </w:tcPr>
          <w:p w14:paraId="7FC35452" w14:textId="1C3D579C" w:rsidR="0060646B" w:rsidRPr="001E6612" w:rsidRDefault="0060646B" w:rsidP="008D47F6">
            <w:pPr>
              <w:rPr>
                <w:rFonts w:ascii="Arial" w:hAnsi="Arial" w:cs="Arial"/>
                <w:b/>
                <w:bCs/>
                <w:lang w:eastAsia="zh-CN"/>
              </w:rPr>
            </w:pPr>
            <w:r w:rsidRPr="001E6612">
              <w:rPr>
                <w:rFonts w:ascii="Arial" w:hAnsi="Arial" w:cs="Arial"/>
                <w:b/>
                <w:bCs/>
                <w:lang w:eastAsia="zh-CN"/>
              </w:rPr>
              <w:t>Type of List</w:t>
            </w:r>
          </w:p>
        </w:tc>
        <w:tc>
          <w:tcPr>
            <w:tcW w:w="5063" w:type="dxa"/>
            <w:shd w:val="clear" w:color="auto" w:fill="DEEAF6" w:themeFill="accent5" w:themeFillTint="33"/>
          </w:tcPr>
          <w:p w14:paraId="0386CB39" w14:textId="332838E3" w:rsidR="0060646B" w:rsidRPr="001E6612" w:rsidRDefault="0060646B" w:rsidP="008D47F6">
            <w:pPr>
              <w:rPr>
                <w:rFonts w:ascii="Arial" w:hAnsi="Arial" w:cs="Arial"/>
                <w:b/>
                <w:bCs/>
                <w:lang w:eastAsia="zh-CN"/>
              </w:rPr>
            </w:pPr>
            <w:r w:rsidRPr="001E6612">
              <w:rPr>
                <w:rFonts w:ascii="Arial" w:hAnsi="Arial" w:cs="Arial"/>
                <w:b/>
                <w:bCs/>
                <w:lang w:eastAsia="zh-CN"/>
              </w:rPr>
              <w:t xml:space="preserve">Purpose </w:t>
            </w:r>
          </w:p>
        </w:tc>
        <w:tc>
          <w:tcPr>
            <w:tcW w:w="3255" w:type="dxa"/>
            <w:shd w:val="clear" w:color="auto" w:fill="DEEAF6" w:themeFill="accent5" w:themeFillTint="33"/>
          </w:tcPr>
          <w:p w14:paraId="75809AC1" w14:textId="1C3A1035" w:rsidR="0060646B" w:rsidRPr="001E6612" w:rsidRDefault="0060646B" w:rsidP="008D47F6">
            <w:pPr>
              <w:rPr>
                <w:rFonts w:ascii="Arial" w:hAnsi="Arial" w:cs="Arial"/>
                <w:b/>
                <w:bCs/>
                <w:lang w:eastAsia="zh-CN"/>
              </w:rPr>
            </w:pPr>
            <w:r w:rsidRPr="001E6612">
              <w:rPr>
                <w:rFonts w:ascii="Arial" w:hAnsi="Arial" w:cs="Arial"/>
                <w:b/>
                <w:bCs/>
                <w:lang w:eastAsia="zh-CN"/>
              </w:rPr>
              <w:t>Criticality assessment</w:t>
            </w:r>
          </w:p>
        </w:tc>
      </w:tr>
      <w:tr w:rsidR="0060646B" w14:paraId="5E5D2CD1" w14:textId="61BDDAB8" w:rsidTr="0060646B">
        <w:tc>
          <w:tcPr>
            <w:tcW w:w="1311" w:type="dxa"/>
          </w:tcPr>
          <w:p w14:paraId="571B4117" w14:textId="75497006" w:rsidR="0060646B" w:rsidRDefault="0060646B" w:rsidP="008D47F6">
            <w:pPr>
              <w:rPr>
                <w:rFonts w:ascii="Arial" w:hAnsi="Arial" w:cs="Arial"/>
                <w:lang w:eastAsia="zh-CN"/>
              </w:rPr>
            </w:pPr>
            <w:r>
              <w:rPr>
                <w:rFonts w:ascii="Arial" w:hAnsi="Arial" w:cs="Arial"/>
                <w:lang w:eastAsia="zh-CN"/>
              </w:rPr>
              <w:t>“</w:t>
            </w:r>
            <w:r w:rsidRPr="001E6612">
              <w:rPr>
                <w:rFonts w:ascii="Arial" w:hAnsi="Arial" w:cs="Arial"/>
                <w:b/>
                <w:bCs/>
                <w:lang w:eastAsia="zh-CN"/>
              </w:rPr>
              <w:t>List of Satellite IDs</w:t>
            </w:r>
            <w:r>
              <w:rPr>
                <w:rFonts w:ascii="Arial" w:hAnsi="Arial" w:cs="Arial"/>
                <w:lang w:eastAsia="zh-CN"/>
              </w:rPr>
              <w:t>” proposed for the split-MME</w:t>
            </w:r>
          </w:p>
        </w:tc>
        <w:tc>
          <w:tcPr>
            <w:tcW w:w="5063" w:type="dxa"/>
          </w:tcPr>
          <w:p w14:paraId="54C75D72" w14:textId="77777777" w:rsidR="001E6612" w:rsidRDefault="00E8337C" w:rsidP="008D47F6">
            <w:pPr>
              <w:rPr>
                <w:rFonts w:ascii="Arial" w:hAnsi="Arial" w:cs="Arial"/>
                <w:lang w:eastAsia="zh-CN"/>
              </w:rPr>
            </w:pPr>
            <w:r>
              <w:rPr>
                <w:rFonts w:ascii="Arial" w:hAnsi="Arial" w:cs="Arial"/>
                <w:lang w:eastAsia="zh-CN"/>
              </w:rPr>
              <w:t>The need for this list is rooted in the fact that</w:t>
            </w:r>
            <w:r w:rsidR="001E6612">
              <w:rPr>
                <w:rFonts w:ascii="Arial" w:hAnsi="Arial" w:cs="Arial"/>
                <w:lang w:eastAsia="zh-CN"/>
              </w:rPr>
              <w:t xml:space="preserve">, under a deployment option based on the split-MME architecture, not necessarily all the satellites of the network shall be synchronised with the UE context. </w:t>
            </w:r>
          </w:p>
          <w:p w14:paraId="27DE2A27" w14:textId="77777777" w:rsidR="001E6612" w:rsidRDefault="001E6612" w:rsidP="008D47F6">
            <w:pPr>
              <w:rPr>
                <w:rFonts w:ascii="Arial" w:hAnsi="Arial" w:cs="Arial"/>
                <w:lang w:eastAsia="zh-CN"/>
              </w:rPr>
            </w:pPr>
            <w:r>
              <w:rPr>
                <w:rFonts w:ascii="Arial" w:hAnsi="Arial" w:cs="Arial"/>
                <w:lang w:eastAsia="zh-CN"/>
              </w:rPr>
              <w:t xml:space="preserve">This is properly indicated </w:t>
            </w:r>
            <w:r w:rsidRPr="001E6612">
              <w:rPr>
                <w:rFonts w:ascii="Arial" w:hAnsi="Arial" w:cs="Arial"/>
                <w:lang w:eastAsia="zh-CN"/>
              </w:rPr>
              <w:t xml:space="preserve">the </w:t>
            </w:r>
            <w:r>
              <w:rPr>
                <w:rFonts w:ascii="Arial" w:hAnsi="Arial" w:cs="Arial"/>
                <w:lang w:eastAsia="zh-CN"/>
              </w:rPr>
              <w:t xml:space="preserve">description of the </w:t>
            </w:r>
            <w:r w:rsidRPr="001E6612">
              <w:rPr>
                <w:rFonts w:ascii="Arial" w:hAnsi="Arial" w:cs="Arial"/>
                <w:lang w:eastAsia="zh-CN"/>
              </w:rPr>
              <w:t>split-MME architecture documented in Annex O.2 in 3GPP TS 23.401 v19.1.0</w:t>
            </w:r>
            <w:r>
              <w:rPr>
                <w:rFonts w:ascii="Arial" w:hAnsi="Arial" w:cs="Arial"/>
                <w:lang w:eastAsia="zh-CN"/>
              </w:rPr>
              <w:t>, where the following note was added:</w:t>
            </w:r>
          </w:p>
          <w:p w14:paraId="5D78BC22" w14:textId="693DB575" w:rsidR="001E6612" w:rsidRPr="001E6612" w:rsidRDefault="001E6612" w:rsidP="008D47F6">
            <w:pPr>
              <w:rPr>
                <w:rFonts w:ascii="Arial" w:hAnsi="Arial" w:cs="Arial"/>
                <w:i/>
                <w:iCs/>
                <w:lang w:eastAsia="zh-CN"/>
              </w:rPr>
            </w:pPr>
            <w:r w:rsidRPr="001E6612">
              <w:rPr>
                <w:rFonts w:ascii="Arial" w:hAnsi="Arial" w:cs="Arial"/>
                <w:i/>
                <w:iCs/>
                <w:lang w:eastAsia="zh-CN"/>
              </w:rPr>
              <w:t>NOTE:</w:t>
            </w:r>
            <w:r w:rsidRPr="001E6612">
              <w:rPr>
                <w:rFonts w:ascii="Arial" w:hAnsi="Arial" w:cs="Arial"/>
                <w:i/>
                <w:iCs/>
                <w:lang w:eastAsia="zh-CN"/>
              </w:rPr>
              <w:tab/>
              <w:t>Based on implementation, the UE context can be uploaded on a subset of MME-onboard(s) or all MME-onboard(s) associated with MME-ground.</w:t>
            </w:r>
          </w:p>
          <w:p w14:paraId="4BAC350E" w14:textId="5329E199" w:rsidR="001E6612" w:rsidRDefault="001E6612" w:rsidP="008D47F6">
            <w:pPr>
              <w:rPr>
                <w:rFonts w:ascii="Arial" w:hAnsi="Arial" w:cs="Arial"/>
                <w:lang w:eastAsia="zh-CN"/>
              </w:rPr>
            </w:pPr>
            <w:r>
              <w:rPr>
                <w:rFonts w:ascii="Arial" w:hAnsi="Arial" w:cs="Arial"/>
                <w:lang w:eastAsia="zh-CN"/>
              </w:rPr>
              <w:t xml:space="preserve">To be able to limit service to a subset of satellites is critical for the scalability of the solution. </w:t>
            </w:r>
          </w:p>
          <w:p w14:paraId="668FD705" w14:textId="63D956F1" w:rsidR="0060646B" w:rsidRDefault="0060646B" w:rsidP="00696B77">
            <w:pPr>
              <w:rPr>
                <w:rFonts w:ascii="Arial" w:hAnsi="Arial" w:cs="Arial"/>
                <w:lang w:eastAsia="zh-CN"/>
              </w:rPr>
            </w:pPr>
            <w:r>
              <w:rPr>
                <w:rFonts w:ascii="Arial" w:hAnsi="Arial" w:cs="Arial"/>
                <w:lang w:eastAsia="zh-CN"/>
              </w:rPr>
              <w:t>The purpose of this list is to prevent UE to access to satellites operating in S&amp;F Mode in which no UE context is found/updated.</w:t>
            </w:r>
            <w:r w:rsidR="001E6612">
              <w:rPr>
                <w:rFonts w:ascii="Arial" w:hAnsi="Arial" w:cs="Arial"/>
                <w:lang w:eastAsia="zh-CN"/>
              </w:rPr>
              <w:t xml:space="preserve"> </w:t>
            </w:r>
            <w:r>
              <w:rPr>
                <w:rFonts w:ascii="Arial" w:hAnsi="Arial" w:cs="Arial"/>
                <w:lang w:eastAsia="zh-CN"/>
              </w:rPr>
              <w:t xml:space="preserve">For example, one operator with </w:t>
            </w:r>
            <w:r w:rsidR="001E6612">
              <w:rPr>
                <w:rFonts w:ascii="Arial" w:hAnsi="Arial" w:cs="Arial"/>
                <w:lang w:eastAsia="zh-CN"/>
              </w:rPr>
              <w:t xml:space="preserve">e.g. </w:t>
            </w:r>
            <w:r>
              <w:rPr>
                <w:rFonts w:ascii="Arial" w:hAnsi="Arial" w:cs="Arial"/>
                <w:lang w:eastAsia="zh-CN"/>
              </w:rPr>
              <w:t xml:space="preserve">100 satellites operating in S&amp;F mode may decide to serve </w:t>
            </w:r>
            <w:r w:rsidR="001E6612">
              <w:rPr>
                <w:rFonts w:ascii="Arial" w:hAnsi="Arial" w:cs="Arial"/>
                <w:lang w:eastAsia="zh-CN"/>
              </w:rPr>
              <w:t>each</w:t>
            </w:r>
            <w:r>
              <w:rPr>
                <w:rFonts w:ascii="Arial" w:hAnsi="Arial" w:cs="Arial"/>
                <w:lang w:eastAsia="zh-CN"/>
              </w:rPr>
              <w:t xml:space="preserve"> particular UE using </w:t>
            </w:r>
            <w:r w:rsidR="001E6612">
              <w:rPr>
                <w:rFonts w:ascii="Arial" w:hAnsi="Arial" w:cs="Arial"/>
                <w:lang w:eastAsia="zh-CN"/>
              </w:rPr>
              <w:t xml:space="preserve">only e.g. </w:t>
            </w:r>
            <w:r>
              <w:rPr>
                <w:rFonts w:ascii="Arial" w:hAnsi="Arial" w:cs="Arial"/>
                <w:lang w:eastAsia="zh-CN"/>
              </w:rPr>
              <w:t xml:space="preserve">10 </w:t>
            </w:r>
            <w:r>
              <w:rPr>
                <w:rFonts w:ascii="Arial" w:hAnsi="Arial" w:cs="Arial"/>
                <w:lang w:eastAsia="zh-CN"/>
              </w:rPr>
              <w:lastRenderedPageBreak/>
              <w:t xml:space="preserve">of those satellites, which could </w:t>
            </w:r>
            <w:r w:rsidR="001E6612">
              <w:rPr>
                <w:rFonts w:ascii="Arial" w:hAnsi="Arial" w:cs="Arial"/>
                <w:lang w:eastAsia="zh-CN"/>
              </w:rPr>
              <w:t xml:space="preserve">already achieve a </w:t>
            </w:r>
            <w:r>
              <w:rPr>
                <w:rFonts w:ascii="Arial" w:hAnsi="Arial" w:cs="Arial"/>
                <w:lang w:eastAsia="zh-CN"/>
              </w:rPr>
              <w:t xml:space="preserve">trade-off between the complexity of keeping the UE context synchronised in the serving satellites and the performance of the service in terms of revisit time.    </w:t>
            </w:r>
          </w:p>
          <w:p w14:paraId="4B9CEDD7" w14:textId="50D3284F" w:rsidR="0060646B" w:rsidRDefault="0060646B" w:rsidP="008D47F6">
            <w:pPr>
              <w:rPr>
                <w:rFonts w:ascii="Arial" w:hAnsi="Arial" w:cs="Arial"/>
                <w:lang w:eastAsia="zh-CN"/>
              </w:rPr>
            </w:pPr>
            <w:r>
              <w:rPr>
                <w:rFonts w:ascii="Arial" w:hAnsi="Arial" w:cs="Arial"/>
                <w:lang w:eastAsia="zh-CN"/>
              </w:rPr>
              <w:t xml:space="preserve">Therefore, if </w:t>
            </w:r>
            <w:r w:rsidR="001E6612">
              <w:rPr>
                <w:rFonts w:ascii="Arial" w:hAnsi="Arial" w:cs="Arial"/>
                <w:lang w:eastAsia="zh-CN"/>
              </w:rPr>
              <w:t xml:space="preserve">this list is </w:t>
            </w:r>
            <w:r>
              <w:rPr>
                <w:rFonts w:ascii="Arial" w:hAnsi="Arial" w:cs="Arial"/>
                <w:lang w:eastAsia="zh-CN"/>
              </w:rPr>
              <w:t>provided</w:t>
            </w:r>
            <w:r w:rsidR="001E6612">
              <w:rPr>
                <w:rFonts w:ascii="Arial" w:hAnsi="Arial" w:cs="Arial"/>
                <w:lang w:eastAsia="zh-CN"/>
              </w:rPr>
              <w:t xml:space="preserve"> to the UE</w:t>
            </w:r>
            <w:r>
              <w:rPr>
                <w:rFonts w:ascii="Arial" w:hAnsi="Arial" w:cs="Arial"/>
                <w:lang w:eastAsia="zh-CN"/>
              </w:rPr>
              <w:t xml:space="preserve">, </w:t>
            </w:r>
            <w:r w:rsidR="001E6612">
              <w:rPr>
                <w:rFonts w:ascii="Arial" w:hAnsi="Arial" w:cs="Arial"/>
                <w:lang w:eastAsia="zh-CN"/>
              </w:rPr>
              <w:t xml:space="preserve">it means that UE context will only be uploaded in the satellites listed in the list, and </w:t>
            </w:r>
            <w:r>
              <w:rPr>
                <w:rFonts w:ascii="Arial" w:hAnsi="Arial" w:cs="Arial"/>
                <w:lang w:eastAsia="zh-CN"/>
              </w:rPr>
              <w:t>the UE shall</w:t>
            </w:r>
            <w:r w:rsidR="001E6612">
              <w:rPr>
                <w:rFonts w:ascii="Arial" w:hAnsi="Arial" w:cs="Arial"/>
                <w:lang w:eastAsia="zh-CN"/>
              </w:rPr>
              <w:t xml:space="preserve"> </w:t>
            </w:r>
            <w:r w:rsidRPr="0060646B">
              <w:rPr>
                <w:rFonts w:ascii="Arial" w:hAnsi="Arial" w:cs="Arial"/>
                <w:lang w:eastAsia="zh-CN"/>
              </w:rPr>
              <w:t xml:space="preserve">not </w:t>
            </w:r>
            <w:r>
              <w:rPr>
                <w:rFonts w:ascii="Arial" w:hAnsi="Arial" w:cs="Arial"/>
                <w:lang w:eastAsia="zh-CN"/>
              </w:rPr>
              <w:t xml:space="preserve">attempt access </w:t>
            </w:r>
            <w:r w:rsidRPr="0060646B">
              <w:rPr>
                <w:rFonts w:ascii="Arial" w:hAnsi="Arial" w:cs="Arial"/>
                <w:lang w:eastAsia="zh-CN"/>
              </w:rPr>
              <w:t>in any satellite operating in S&amp;F Mode which is not included in the list.</w:t>
            </w:r>
            <w:r>
              <w:rPr>
                <w:rFonts w:ascii="Arial" w:hAnsi="Arial" w:cs="Arial"/>
                <w:lang w:eastAsia="zh-CN"/>
              </w:rPr>
              <w:t xml:space="preserve"> Otherwise, if the UE disregard</w:t>
            </w:r>
            <w:r w:rsidR="001E6612">
              <w:rPr>
                <w:rFonts w:ascii="Arial" w:hAnsi="Arial" w:cs="Arial"/>
                <w:lang w:eastAsia="zh-CN"/>
              </w:rPr>
              <w:t>s</w:t>
            </w:r>
            <w:r>
              <w:rPr>
                <w:rFonts w:ascii="Arial" w:hAnsi="Arial" w:cs="Arial"/>
                <w:lang w:eastAsia="zh-CN"/>
              </w:rPr>
              <w:t xml:space="preserve"> the list, the UE may end up accessing satellites with no valid UE context, getting rejections and triggering parallel attaches. </w:t>
            </w:r>
          </w:p>
        </w:tc>
        <w:tc>
          <w:tcPr>
            <w:tcW w:w="3255" w:type="dxa"/>
          </w:tcPr>
          <w:p w14:paraId="01243399" w14:textId="16C7A06C" w:rsidR="0060646B" w:rsidRDefault="001E6612" w:rsidP="008D47F6">
            <w:pPr>
              <w:rPr>
                <w:rFonts w:ascii="Arial" w:hAnsi="Arial" w:cs="Arial"/>
                <w:lang w:eastAsia="zh-CN"/>
              </w:rPr>
            </w:pPr>
            <w:r>
              <w:rPr>
                <w:rFonts w:ascii="Arial" w:hAnsi="Arial" w:cs="Arial"/>
                <w:lang w:eastAsia="zh-CN"/>
              </w:rPr>
              <w:lastRenderedPageBreak/>
              <w:t>Critical</w:t>
            </w:r>
            <w:r w:rsidR="0060646B">
              <w:rPr>
                <w:rFonts w:ascii="Arial" w:hAnsi="Arial" w:cs="Arial"/>
                <w:lang w:eastAsia="zh-CN"/>
              </w:rPr>
              <w:t xml:space="preserve"> for proper network</w:t>
            </w:r>
            <w:r>
              <w:rPr>
                <w:rFonts w:ascii="Arial" w:hAnsi="Arial" w:cs="Arial"/>
                <w:lang w:eastAsia="zh-CN"/>
              </w:rPr>
              <w:t xml:space="preserve"> and UE</w:t>
            </w:r>
            <w:r w:rsidR="0060646B">
              <w:rPr>
                <w:rFonts w:ascii="Arial" w:hAnsi="Arial" w:cs="Arial"/>
                <w:lang w:eastAsia="zh-CN"/>
              </w:rPr>
              <w:t xml:space="preserve"> operation</w:t>
            </w:r>
            <w:r>
              <w:rPr>
                <w:rFonts w:ascii="Arial" w:hAnsi="Arial" w:cs="Arial"/>
                <w:lang w:eastAsia="zh-CN"/>
              </w:rPr>
              <w:t>.</w:t>
            </w:r>
          </w:p>
          <w:p w14:paraId="1A0C5682" w14:textId="40E5D2E5" w:rsidR="001E6612" w:rsidRDefault="0060646B" w:rsidP="008D47F6">
            <w:pPr>
              <w:rPr>
                <w:rFonts w:ascii="Arial" w:hAnsi="Arial" w:cs="Arial"/>
                <w:lang w:eastAsia="zh-CN"/>
              </w:rPr>
            </w:pPr>
            <w:r w:rsidRPr="0060646B">
              <w:rPr>
                <w:rFonts w:ascii="Arial" w:hAnsi="Arial" w:cs="Arial"/>
                <w:lang w:eastAsia="zh-CN"/>
              </w:rPr>
              <w:t xml:space="preserve">If not </w:t>
            </w:r>
            <w:r>
              <w:rPr>
                <w:rFonts w:ascii="Arial" w:hAnsi="Arial" w:cs="Arial"/>
                <w:lang w:eastAsia="zh-CN"/>
              </w:rPr>
              <w:t>suppo</w:t>
            </w:r>
            <w:r w:rsidR="001E6612">
              <w:rPr>
                <w:rFonts w:ascii="Arial" w:hAnsi="Arial" w:cs="Arial"/>
                <w:lang w:eastAsia="zh-CN"/>
              </w:rPr>
              <w:t>rted</w:t>
            </w:r>
            <w:r w:rsidRPr="0060646B">
              <w:rPr>
                <w:rFonts w:ascii="Arial" w:hAnsi="Arial" w:cs="Arial"/>
                <w:lang w:eastAsia="zh-CN"/>
              </w:rPr>
              <w:t>, the</w:t>
            </w:r>
            <w:r w:rsidR="001E6612">
              <w:rPr>
                <w:rFonts w:ascii="Arial" w:hAnsi="Arial" w:cs="Arial"/>
                <w:lang w:eastAsia="zh-CN"/>
              </w:rPr>
              <w:t xml:space="preserve">re is no way to inform the UE that UE context is available only in a subset of satellites. Consequently, the NW will need to keep the UE context synchronised in ALL the satellites, posing serious scalability problems. </w:t>
            </w:r>
            <w:r w:rsidRPr="0060646B">
              <w:rPr>
                <w:rFonts w:ascii="Arial" w:hAnsi="Arial" w:cs="Arial"/>
                <w:lang w:eastAsia="zh-CN"/>
              </w:rPr>
              <w:t xml:space="preserve"> </w:t>
            </w:r>
          </w:p>
          <w:p w14:paraId="4B7CA161" w14:textId="28A5BC72" w:rsidR="0060646B" w:rsidRDefault="001E6612" w:rsidP="008D47F6">
            <w:pPr>
              <w:rPr>
                <w:rFonts w:ascii="Arial" w:hAnsi="Arial" w:cs="Arial"/>
                <w:lang w:eastAsia="zh-CN"/>
              </w:rPr>
            </w:pPr>
            <w:r>
              <w:rPr>
                <w:rFonts w:ascii="Arial" w:hAnsi="Arial" w:cs="Arial"/>
                <w:lang w:eastAsia="zh-CN"/>
              </w:rPr>
              <w:t xml:space="preserve">This, if not supported, </w:t>
            </w:r>
            <w:r w:rsidR="0060646B" w:rsidRPr="0060646B">
              <w:rPr>
                <w:rFonts w:ascii="Arial" w:hAnsi="Arial" w:cs="Arial"/>
                <w:lang w:eastAsia="zh-CN"/>
              </w:rPr>
              <w:t>UE context synchronisation across multiple satellites is challenging for split-MME based deployments</w:t>
            </w:r>
            <w:r w:rsidR="00E8337C">
              <w:rPr>
                <w:rFonts w:ascii="Arial" w:hAnsi="Arial" w:cs="Arial"/>
                <w:lang w:eastAsia="zh-CN"/>
              </w:rPr>
              <w:t xml:space="preserve"> </w:t>
            </w:r>
            <w:r w:rsidR="00E8337C" w:rsidRPr="00E8337C">
              <w:rPr>
                <w:rFonts w:ascii="Arial" w:hAnsi="Arial" w:cs="Arial"/>
                <w:lang w:eastAsia="zh-CN"/>
              </w:rPr>
              <w:t>and scalability of such deployments is seriously restricted.</w:t>
            </w:r>
            <w:r w:rsidR="00E8337C">
              <w:rPr>
                <w:rFonts w:ascii="Arial" w:hAnsi="Arial" w:cs="Arial"/>
                <w:lang w:eastAsia="zh-CN"/>
              </w:rPr>
              <w:t xml:space="preserve"> </w:t>
            </w:r>
          </w:p>
        </w:tc>
      </w:tr>
      <w:tr w:rsidR="0060646B" w14:paraId="0775F766" w14:textId="0747EC98" w:rsidTr="0060646B">
        <w:tc>
          <w:tcPr>
            <w:tcW w:w="1311" w:type="dxa"/>
          </w:tcPr>
          <w:p w14:paraId="378D345B" w14:textId="6ADA55C4" w:rsidR="0060646B" w:rsidRDefault="0060646B" w:rsidP="008D47F6">
            <w:pPr>
              <w:rPr>
                <w:rFonts w:ascii="Arial" w:hAnsi="Arial" w:cs="Arial"/>
                <w:lang w:eastAsia="zh-CN"/>
              </w:rPr>
            </w:pPr>
            <w:r>
              <w:rPr>
                <w:rFonts w:ascii="Arial" w:hAnsi="Arial" w:cs="Arial"/>
                <w:lang w:eastAsia="zh-CN"/>
              </w:rPr>
              <w:t>“</w:t>
            </w:r>
            <w:r w:rsidRPr="001E6612">
              <w:rPr>
                <w:rFonts w:ascii="Arial" w:hAnsi="Arial" w:cs="Arial"/>
                <w:b/>
                <w:bCs/>
                <w:lang w:eastAsia="zh-CN"/>
              </w:rPr>
              <w:t>S&amp;F Monitored List</w:t>
            </w:r>
            <w:r>
              <w:rPr>
                <w:rFonts w:ascii="Arial" w:hAnsi="Arial" w:cs="Arial"/>
                <w:lang w:eastAsia="zh-CN"/>
              </w:rPr>
              <w:t>” proposed for the full EPC onboard</w:t>
            </w:r>
          </w:p>
        </w:tc>
        <w:tc>
          <w:tcPr>
            <w:tcW w:w="5063" w:type="dxa"/>
          </w:tcPr>
          <w:p w14:paraId="33A69EC1" w14:textId="0F652EF2" w:rsidR="0060646B" w:rsidRDefault="0060646B" w:rsidP="008D47F6">
            <w:pPr>
              <w:rPr>
                <w:rFonts w:ascii="Arial" w:hAnsi="Arial" w:cs="Arial"/>
                <w:lang w:eastAsia="zh-CN"/>
              </w:rPr>
            </w:pPr>
            <w:r>
              <w:rPr>
                <w:rFonts w:ascii="Arial" w:hAnsi="Arial" w:cs="Arial"/>
                <w:lang w:eastAsia="zh-CN"/>
              </w:rPr>
              <w:t xml:space="preserve">The purpose of this list is mainly to </w:t>
            </w:r>
            <w:r w:rsidRPr="00696B77">
              <w:rPr>
                <w:rFonts w:ascii="Arial" w:hAnsi="Arial" w:cs="Arial"/>
                <w:lang w:eastAsia="zh-CN"/>
              </w:rPr>
              <w:t>assist the UE in retrieving MT data.</w:t>
            </w:r>
            <w:r>
              <w:rPr>
                <w:rFonts w:ascii="Arial" w:hAnsi="Arial" w:cs="Arial"/>
                <w:lang w:eastAsia="zh-CN"/>
              </w:rPr>
              <w:t xml:space="preserve"> </w:t>
            </w:r>
          </w:p>
          <w:p w14:paraId="55970F5D" w14:textId="7C3F6FE8" w:rsidR="0060646B" w:rsidRDefault="0060646B" w:rsidP="008D47F6">
            <w:pPr>
              <w:rPr>
                <w:rFonts w:ascii="Arial" w:hAnsi="Arial" w:cs="Arial"/>
                <w:lang w:eastAsia="zh-CN"/>
              </w:rPr>
            </w:pPr>
            <w:r>
              <w:rPr>
                <w:rFonts w:ascii="Arial" w:hAnsi="Arial" w:cs="Arial"/>
                <w:lang w:eastAsia="zh-CN"/>
              </w:rPr>
              <w:t>This list is mainly conceived from a UE power saving perspective</w:t>
            </w:r>
            <w:r w:rsidR="00364806">
              <w:rPr>
                <w:rFonts w:ascii="Arial" w:hAnsi="Arial" w:cs="Arial"/>
                <w:lang w:eastAsia="zh-CN"/>
              </w:rPr>
              <w:t>.</w:t>
            </w:r>
          </w:p>
          <w:p w14:paraId="3F1E4626" w14:textId="4D8AE9EC" w:rsidR="0060646B" w:rsidRDefault="001E6612" w:rsidP="001E6612">
            <w:pPr>
              <w:rPr>
                <w:rFonts w:ascii="Arial" w:hAnsi="Arial" w:cs="Arial"/>
                <w:lang w:eastAsia="zh-CN"/>
              </w:rPr>
            </w:pPr>
            <w:r>
              <w:rPr>
                <w:rFonts w:ascii="Arial" w:hAnsi="Arial" w:cs="Arial"/>
                <w:lang w:eastAsia="zh-CN"/>
              </w:rPr>
              <w:t xml:space="preserve">If supported, the </w:t>
            </w:r>
            <w:r w:rsidR="0060646B" w:rsidRPr="0060646B">
              <w:rPr>
                <w:rFonts w:ascii="Arial" w:hAnsi="Arial" w:cs="Arial"/>
                <w:lang w:eastAsia="zh-CN"/>
              </w:rPr>
              <w:t xml:space="preserve">network </w:t>
            </w:r>
            <w:r>
              <w:rPr>
                <w:rFonts w:ascii="Arial" w:hAnsi="Arial" w:cs="Arial"/>
                <w:lang w:eastAsia="zh-CN"/>
              </w:rPr>
              <w:t xml:space="preserve">can restrict the </w:t>
            </w:r>
            <w:r w:rsidR="0060646B" w:rsidRPr="0060646B">
              <w:rPr>
                <w:rFonts w:ascii="Arial" w:hAnsi="Arial" w:cs="Arial"/>
                <w:lang w:eastAsia="zh-CN"/>
              </w:rPr>
              <w:t>deliver</w:t>
            </w:r>
            <w:r>
              <w:rPr>
                <w:rFonts w:ascii="Arial" w:hAnsi="Arial" w:cs="Arial"/>
                <w:lang w:eastAsia="zh-CN"/>
              </w:rPr>
              <w:t>y of</w:t>
            </w:r>
            <w:r w:rsidR="0060646B" w:rsidRPr="0060646B">
              <w:rPr>
                <w:rFonts w:ascii="Arial" w:hAnsi="Arial" w:cs="Arial"/>
                <w:lang w:eastAsia="zh-CN"/>
              </w:rPr>
              <w:t xml:space="preserve"> MT traffic </w:t>
            </w:r>
            <w:r w:rsidR="00364806">
              <w:rPr>
                <w:rFonts w:ascii="Arial" w:hAnsi="Arial" w:cs="Arial"/>
                <w:lang w:eastAsia="zh-CN"/>
              </w:rPr>
              <w:t xml:space="preserve">to </w:t>
            </w:r>
            <w:r>
              <w:rPr>
                <w:rFonts w:ascii="Arial" w:hAnsi="Arial" w:cs="Arial"/>
                <w:lang w:eastAsia="zh-CN"/>
              </w:rPr>
              <w:t xml:space="preserve">a subset of satellites so that </w:t>
            </w:r>
            <w:r w:rsidR="0060646B">
              <w:rPr>
                <w:rFonts w:ascii="Arial" w:hAnsi="Arial" w:cs="Arial"/>
                <w:lang w:eastAsia="zh-CN"/>
              </w:rPr>
              <w:t>a UE may listen only to th</w:t>
            </w:r>
            <w:r>
              <w:rPr>
                <w:rFonts w:ascii="Arial" w:hAnsi="Arial" w:cs="Arial"/>
                <w:lang w:eastAsia="zh-CN"/>
              </w:rPr>
              <w:t>ose</w:t>
            </w:r>
            <w:r w:rsidR="0060646B">
              <w:rPr>
                <w:rFonts w:ascii="Arial" w:hAnsi="Arial" w:cs="Arial"/>
                <w:lang w:eastAsia="zh-CN"/>
              </w:rPr>
              <w:t xml:space="preserve"> satellites of the list for getting any MT traffic</w:t>
            </w:r>
            <w:r w:rsidR="00364806">
              <w:rPr>
                <w:rFonts w:ascii="Arial" w:hAnsi="Arial" w:cs="Arial"/>
                <w:lang w:eastAsia="zh-CN"/>
              </w:rPr>
              <w:t>, which can reduce UE power consumption</w:t>
            </w:r>
            <w:r>
              <w:rPr>
                <w:rFonts w:ascii="Arial" w:hAnsi="Arial" w:cs="Arial"/>
                <w:lang w:eastAsia="zh-CN"/>
              </w:rPr>
              <w:t xml:space="preserve"> given that the UE can skip listening/accessing to other satellites unless they have MO traffic</w:t>
            </w:r>
            <w:r w:rsidR="00364806">
              <w:rPr>
                <w:rFonts w:ascii="Arial" w:hAnsi="Arial" w:cs="Arial"/>
                <w:lang w:eastAsia="zh-CN"/>
              </w:rPr>
              <w:t>.</w:t>
            </w:r>
            <w:r>
              <w:rPr>
                <w:rFonts w:ascii="Arial" w:hAnsi="Arial" w:cs="Arial"/>
                <w:lang w:eastAsia="zh-CN"/>
              </w:rPr>
              <w:t xml:space="preserve"> </w:t>
            </w:r>
            <w:r w:rsidR="00364806">
              <w:rPr>
                <w:rFonts w:ascii="Arial" w:hAnsi="Arial" w:cs="Arial"/>
                <w:lang w:eastAsia="zh-CN"/>
              </w:rPr>
              <w:t xml:space="preserve"> </w:t>
            </w:r>
            <w:r w:rsidR="0060646B">
              <w:rPr>
                <w:rFonts w:ascii="Arial" w:hAnsi="Arial" w:cs="Arial"/>
                <w:lang w:eastAsia="zh-CN"/>
              </w:rPr>
              <w:t xml:space="preserve"> </w:t>
            </w:r>
          </w:p>
        </w:tc>
        <w:tc>
          <w:tcPr>
            <w:tcW w:w="3255" w:type="dxa"/>
          </w:tcPr>
          <w:p w14:paraId="2B9B334F" w14:textId="0A9F4FF1" w:rsidR="0060646B" w:rsidRDefault="0060646B" w:rsidP="0060646B">
            <w:pPr>
              <w:rPr>
                <w:rFonts w:ascii="Arial" w:hAnsi="Arial" w:cs="Arial"/>
                <w:lang w:eastAsia="zh-CN"/>
              </w:rPr>
            </w:pPr>
            <w:r>
              <w:rPr>
                <w:rFonts w:ascii="Arial" w:hAnsi="Arial" w:cs="Arial"/>
                <w:lang w:eastAsia="zh-CN"/>
              </w:rPr>
              <w:t>Nice to have for UE power optimization</w:t>
            </w:r>
          </w:p>
          <w:p w14:paraId="1CCA9377" w14:textId="4FBF33D8" w:rsidR="00F472EB" w:rsidRDefault="00F472EB" w:rsidP="0060646B">
            <w:pPr>
              <w:rPr>
                <w:rFonts w:ascii="Arial" w:hAnsi="Arial" w:cs="Arial"/>
                <w:lang w:eastAsia="zh-CN"/>
              </w:rPr>
            </w:pPr>
            <w:r>
              <w:rPr>
                <w:rFonts w:ascii="Arial" w:hAnsi="Arial" w:cs="Arial"/>
                <w:lang w:eastAsia="zh-CN"/>
              </w:rPr>
              <w:t xml:space="preserve">If not supported, the UE may need to listen to all the satellites of the selected PLMN to check whether there is MT traffic or not. </w:t>
            </w:r>
          </w:p>
          <w:p w14:paraId="6D4C3B56" w14:textId="212435EF" w:rsidR="0060646B" w:rsidRDefault="0060646B" w:rsidP="0060646B">
            <w:pPr>
              <w:rPr>
                <w:rFonts w:ascii="Arial" w:hAnsi="Arial" w:cs="Arial"/>
                <w:lang w:eastAsia="zh-CN"/>
              </w:rPr>
            </w:pPr>
          </w:p>
        </w:tc>
      </w:tr>
    </w:tbl>
    <w:p w14:paraId="611285DF" w14:textId="58AEAD7E" w:rsidR="00696B77" w:rsidRDefault="00696B77" w:rsidP="008D47F6">
      <w:pPr>
        <w:rPr>
          <w:rFonts w:ascii="Arial" w:hAnsi="Arial" w:cs="Arial"/>
          <w:lang w:eastAsia="zh-CN"/>
        </w:rPr>
      </w:pPr>
    </w:p>
    <w:p w14:paraId="793B67EC" w14:textId="0A20F233" w:rsidR="00364806" w:rsidRDefault="00364806" w:rsidP="00364806">
      <w:pPr>
        <w:pStyle w:val="Ttulo1"/>
      </w:pPr>
      <w:r>
        <w:t>2</w:t>
      </w:r>
      <w:r>
        <w:tab/>
      </w:r>
      <w:r w:rsidR="001E6612">
        <w:t xml:space="preserve">Conclusion and </w:t>
      </w:r>
      <w:r>
        <w:t>Proposal</w:t>
      </w:r>
    </w:p>
    <w:p w14:paraId="4042AA14" w14:textId="5883A79E" w:rsidR="00364806" w:rsidRDefault="00364806" w:rsidP="008D47F6">
      <w:pPr>
        <w:rPr>
          <w:rFonts w:ascii="Arial" w:hAnsi="Arial" w:cs="Arial"/>
          <w:lang w:eastAsia="zh-CN"/>
        </w:rPr>
      </w:pPr>
    </w:p>
    <w:p w14:paraId="2EC057D1" w14:textId="06CDB040" w:rsidR="00364806" w:rsidRDefault="00364806" w:rsidP="00364806">
      <w:pPr>
        <w:rPr>
          <w:rFonts w:ascii="Arial" w:hAnsi="Arial" w:cs="Arial"/>
          <w:lang w:eastAsia="zh-CN"/>
        </w:rPr>
      </w:pPr>
      <w:r>
        <w:rPr>
          <w:rFonts w:ascii="Arial" w:hAnsi="Arial" w:cs="Arial"/>
          <w:lang w:eastAsia="zh-CN"/>
        </w:rPr>
        <w:t xml:space="preserve">Based on the </w:t>
      </w:r>
      <w:r w:rsidR="00BC6747">
        <w:rPr>
          <w:rFonts w:ascii="Arial" w:hAnsi="Arial" w:cs="Arial"/>
          <w:lang w:eastAsia="zh-CN"/>
        </w:rPr>
        <w:t xml:space="preserve">analysis in Table </w:t>
      </w:r>
      <w:r w:rsidR="001E6612">
        <w:rPr>
          <w:rFonts w:ascii="Arial" w:hAnsi="Arial" w:cs="Arial"/>
          <w:lang w:eastAsia="zh-CN"/>
        </w:rPr>
        <w:t>2</w:t>
      </w:r>
      <w:r>
        <w:rPr>
          <w:rFonts w:ascii="Arial" w:hAnsi="Arial" w:cs="Arial"/>
          <w:lang w:eastAsia="zh-CN"/>
        </w:rPr>
        <w:t xml:space="preserve">, we think that it’s critical to support at least the </w:t>
      </w:r>
      <w:r w:rsidRPr="00364806">
        <w:rPr>
          <w:rFonts w:ascii="Arial" w:hAnsi="Arial" w:cs="Arial"/>
          <w:lang w:eastAsia="zh-CN"/>
        </w:rPr>
        <w:t>“List of Satellite IDs”</w:t>
      </w:r>
      <w:r>
        <w:rPr>
          <w:rFonts w:ascii="Arial" w:hAnsi="Arial" w:cs="Arial"/>
          <w:lang w:eastAsia="zh-CN"/>
        </w:rPr>
        <w:t xml:space="preserve"> in this release of the specification.</w:t>
      </w:r>
    </w:p>
    <w:p w14:paraId="0A376288" w14:textId="77777777" w:rsidR="001E6612" w:rsidRDefault="00364806" w:rsidP="00364806">
      <w:pPr>
        <w:rPr>
          <w:rFonts w:ascii="Arial" w:hAnsi="Arial" w:cs="Arial"/>
          <w:lang w:eastAsia="zh-CN"/>
        </w:rPr>
      </w:pPr>
      <w:r>
        <w:rPr>
          <w:rFonts w:ascii="Arial" w:hAnsi="Arial" w:cs="Arial"/>
          <w:lang w:eastAsia="zh-CN"/>
        </w:rPr>
        <w:t>However, given the complementarity of the purposes of the two list</w:t>
      </w:r>
      <w:r w:rsidR="001E6612">
        <w:rPr>
          <w:rFonts w:ascii="Arial" w:hAnsi="Arial" w:cs="Arial"/>
          <w:lang w:eastAsia="zh-CN"/>
        </w:rPr>
        <w:t>s</w:t>
      </w:r>
      <w:r>
        <w:rPr>
          <w:rFonts w:ascii="Arial" w:hAnsi="Arial" w:cs="Arial"/>
          <w:lang w:eastAsia="zh-CN"/>
        </w:rPr>
        <w:t xml:space="preserve">, we think that supporting the “S&amp;F Monitored List” is also beneficial to provide assistance for MT traffic delivery and contribute to UE power reduction which is an important figure of merit for many IoT NTN applications. </w:t>
      </w:r>
    </w:p>
    <w:p w14:paraId="7D55E8F1" w14:textId="1619E38E" w:rsidR="00364806" w:rsidRPr="00BC6747" w:rsidRDefault="001E6612" w:rsidP="008D47F6">
      <w:pPr>
        <w:rPr>
          <w:rFonts w:ascii="Arial" w:hAnsi="Arial" w:cs="Arial"/>
          <w:lang w:eastAsia="zh-CN"/>
        </w:rPr>
      </w:pPr>
      <w:r>
        <w:rPr>
          <w:rFonts w:ascii="Arial" w:hAnsi="Arial" w:cs="Arial"/>
          <w:lang w:eastAsia="zh-CN"/>
        </w:rPr>
        <w:t xml:space="preserve">Accordingly, a </w:t>
      </w:r>
      <w:r w:rsidR="008F5875">
        <w:rPr>
          <w:rFonts w:ascii="Arial" w:hAnsi="Arial" w:cs="Arial"/>
          <w:lang w:eastAsia="zh-CN"/>
        </w:rPr>
        <w:t>CR</w:t>
      </w:r>
      <w:r w:rsidR="00364806" w:rsidRPr="00BC6747">
        <w:rPr>
          <w:rFonts w:ascii="Arial" w:hAnsi="Arial" w:cs="Arial"/>
          <w:lang w:eastAsia="zh-CN"/>
        </w:rPr>
        <w:t xml:space="preserve"> </w:t>
      </w:r>
      <w:r>
        <w:rPr>
          <w:rFonts w:ascii="Arial" w:hAnsi="Arial" w:cs="Arial"/>
          <w:lang w:eastAsia="zh-CN"/>
        </w:rPr>
        <w:t>is</w:t>
      </w:r>
      <w:r w:rsidR="00364806" w:rsidRPr="00BC6747">
        <w:rPr>
          <w:rFonts w:ascii="Arial" w:hAnsi="Arial" w:cs="Arial"/>
          <w:lang w:eastAsia="zh-CN"/>
        </w:rPr>
        <w:t xml:space="preserve"> submitted </w:t>
      </w:r>
      <w:r>
        <w:rPr>
          <w:rFonts w:ascii="Arial" w:hAnsi="Arial" w:cs="Arial"/>
          <w:lang w:eastAsia="zh-CN"/>
        </w:rPr>
        <w:t xml:space="preserve">in </w:t>
      </w:r>
      <w:r w:rsidR="008F5875">
        <w:rPr>
          <w:rFonts w:ascii="Arial" w:hAnsi="Arial" w:cs="Arial"/>
          <w:lang w:eastAsia="zh-CN"/>
        </w:rPr>
        <w:t>S2-</w:t>
      </w:r>
      <w:r w:rsidR="008F5875" w:rsidRPr="008F5875">
        <w:rPr>
          <w:rFonts w:ascii="Arial" w:hAnsi="Arial" w:cs="Arial"/>
          <w:lang w:eastAsia="zh-CN"/>
        </w:rPr>
        <w:t>2500972</w:t>
      </w:r>
      <w:r w:rsidRPr="00BC6747">
        <w:rPr>
          <w:rFonts w:ascii="Arial" w:hAnsi="Arial" w:cs="Arial"/>
          <w:lang w:eastAsia="zh-CN"/>
        </w:rPr>
        <w:t xml:space="preserve"> </w:t>
      </w:r>
      <w:r w:rsidR="00364806" w:rsidRPr="00BC6747">
        <w:rPr>
          <w:rFonts w:ascii="Arial" w:hAnsi="Arial" w:cs="Arial"/>
          <w:lang w:eastAsia="zh-CN"/>
        </w:rPr>
        <w:t>which proposes to include the two lists “</w:t>
      </w:r>
      <w:r w:rsidR="00364806">
        <w:rPr>
          <w:rFonts w:ascii="Arial" w:hAnsi="Arial" w:cs="Arial"/>
          <w:lang w:eastAsia="zh-CN"/>
        </w:rPr>
        <w:t>“List of Satellite IDs” and ““S&amp;F Monitored List”</w:t>
      </w:r>
      <w:r w:rsidR="00364806" w:rsidRPr="00BC6747">
        <w:rPr>
          <w:rFonts w:ascii="Arial" w:hAnsi="Arial" w:cs="Arial"/>
          <w:lang w:eastAsia="zh-CN"/>
        </w:rPr>
        <w:t xml:space="preserve">, which have been re-named as, respectively, “S&amp;F Serving Satellite List” and “S&amp;F Monitoring Satellite List” seeking to improve clarity and consistency of the terminology.  </w:t>
      </w:r>
    </w:p>
    <w:p w14:paraId="7FB5DAD6" w14:textId="7D23FEE0" w:rsidR="00364806" w:rsidRPr="00BC6747" w:rsidRDefault="00364806" w:rsidP="008D47F6">
      <w:pPr>
        <w:rPr>
          <w:rFonts w:ascii="Arial" w:hAnsi="Arial" w:cs="Arial"/>
          <w:lang w:eastAsia="zh-CN"/>
        </w:rPr>
      </w:pPr>
      <w:r w:rsidRPr="00BC6747">
        <w:rPr>
          <w:rFonts w:ascii="Arial" w:hAnsi="Arial" w:cs="Arial"/>
          <w:lang w:eastAsia="zh-CN"/>
        </w:rPr>
        <w:t xml:space="preserve">While </w:t>
      </w:r>
      <w:r w:rsidR="001E6612">
        <w:rPr>
          <w:rFonts w:ascii="Arial" w:hAnsi="Arial" w:cs="Arial"/>
          <w:lang w:eastAsia="zh-CN"/>
        </w:rPr>
        <w:t>c</w:t>
      </w:r>
      <w:r w:rsidRPr="00BC6747">
        <w:rPr>
          <w:rFonts w:ascii="Arial" w:hAnsi="Arial" w:cs="Arial"/>
          <w:lang w:eastAsia="zh-CN"/>
        </w:rPr>
        <w:t xml:space="preserve">ontribution </w:t>
      </w:r>
      <w:r w:rsidR="008F5875">
        <w:rPr>
          <w:rFonts w:ascii="Arial" w:hAnsi="Arial" w:cs="Arial"/>
          <w:lang w:eastAsia="zh-CN"/>
        </w:rPr>
        <w:t>S2-</w:t>
      </w:r>
      <w:r w:rsidR="008F5875" w:rsidRPr="008F5875">
        <w:rPr>
          <w:rFonts w:ascii="Arial" w:hAnsi="Arial" w:cs="Arial"/>
          <w:lang w:eastAsia="zh-CN"/>
        </w:rPr>
        <w:t>2500972</w:t>
      </w:r>
      <w:r w:rsidR="008F5875" w:rsidRPr="00BC6747">
        <w:rPr>
          <w:rFonts w:ascii="Arial" w:hAnsi="Arial" w:cs="Arial"/>
          <w:lang w:eastAsia="zh-CN"/>
        </w:rPr>
        <w:t xml:space="preserve"> </w:t>
      </w:r>
      <w:r w:rsidRPr="00BC6747">
        <w:rPr>
          <w:rFonts w:ascii="Arial" w:hAnsi="Arial" w:cs="Arial"/>
          <w:lang w:eastAsia="zh-CN"/>
        </w:rPr>
        <w:t>proposes to have two separate lists, a solution converging the two list</w:t>
      </w:r>
      <w:r w:rsidR="001E6612">
        <w:rPr>
          <w:rFonts w:ascii="Arial" w:hAnsi="Arial" w:cs="Arial"/>
          <w:lang w:eastAsia="zh-CN"/>
        </w:rPr>
        <w:t>s</w:t>
      </w:r>
      <w:r w:rsidRPr="00BC6747">
        <w:rPr>
          <w:rFonts w:ascii="Arial" w:hAnsi="Arial" w:cs="Arial"/>
          <w:lang w:eastAsia="zh-CN"/>
        </w:rPr>
        <w:t xml:space="preserve"> into a common list is also seen as a feasible option. In particular, such a solution could consist of keeping the “S&amp;F Serving Satellite List” as the single list and adding, for each satellite identifier included in the list, whether such satellite will be used to deliver MT traffic or not. </w:t>
      </w:r>
    </w:p>
    <w:p w14:paraId="4556B1BA" w14:textId="1E7D44A7" w:rsidR="00364806" w:rsidRDefault="00364806" w:rsidP="008D47F6">
      <w:pPr>
        <w:rPr>
          <w:rFonts w:ascii="Arial" w:hAnsi="Arial" w:cs="Arial"/>
          <w:lang w:eastAsia="zh-CN"/>
        </w:rPr>
      </w:pPr>
    </w:p>
    <w:p w14:paraId="46BF817A" w14:textId="3BD6F1BF" w:rsidR="00364806" w:rsidRDefault="00364806" w:rsidP="008D47F6">
      <w:pPr>
        <w:rPr>
          <w:rFonts w:ascii="Arial" w:hAnsi="Arial" w:cs="Arial"/>
          <w:lang w:eastAsia="zh-CN"/>
        </w:rPr>
      </w:pPr>
    </w:p>
    <w:sectPr w:rsidR="00364806" w:rsidSect="00160CFF">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1728B" w14:textId="77777777" w:rsidR="00B15BDF" w:rsidRDefault="00B15BDF">
      <w:r>
        <w:separator/>
      </w:r>
    </w:p>
    <w:p w14:paraId="7E040A52" w14:textId="77777777" w:rsidR="00B15BDF" w:rsidRDefault="00B15BDF"/>
  </w:endnote>
  <w:endnote w:type="continuationSeparator" w:id="0">
    <w:p w14:paraId="15BDCCEC" w14:textId="77777777" w:rsidR="00B15BDF" w:rsidRDefault="00B15BDF">
      <w:r>
        <w:continuationSeparator/>
      </w:r>
    </w:p>
    <w:p w14:paraId="2D6B2F4F" w14:textId="77777777" w:rsidR="00B15BDF" w:rsidRDefault="00B15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3CB4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67A841D"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2B292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3CE6A" w14:textId="77777777" w:rsidR="00B15BDF" w:rsidRDefault="00B15BDF">
      <w:r>
        <w:separator/>
      </w:r>
    </w:p>
    <w:p w14:paraId="3A22A574" w14:textId="77777777" w:rsidR="00B15BDF" w:rsidRDefault="00B15BDF"/>
  </w:footnote>
  <w:footnote w:type="continuationSeparator" w:id="0">
    <w:p w14:paraId="468FA3DF" w14:textId="77777777" w:rsidR="00B15BDF" w:rsidRDefault="00B15BDF">
      <w:r>
        <w:continuationSeparator/>
      </w:r>
    </w:p>
    <w:p w14:paraId="0F8E830C" w14:textId="77777777" w:rsidR="00B15BDF" w:rsidRDefault="00B15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70D09" w14:textId="77777777" w:rsidR="00554E12" w:rsidRDefault="00554E12"/>
  <w:p w14:paraId="6C5BD3E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E0BC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7F7129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2C91B66D"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F9611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E8EB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9EF1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BA41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84E2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320C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D8EF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505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3C3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1C4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start w:val="1"/>
      <w:numFmt w:val="bullet"/>
      <w:lvlText w:val="o"/>
      <w:lvlJc w:val="left"/>
      <w:pPr>
        <w:ind w:left="1080" w:hanging="360"/>
      </w:pPr>
      <w:rPr>
        <w:rFonts w:ascii="Courier New" w:hAnsi="Courier New" w:cs="Courier New" w:hint="default"/>
      </w:rPr>
    </w:lvl>
    <w:lvl w:ilvl="2" w:tplc="040A0005">
      <w:start w:val="1"/>
      <w:numFmt w:val="bullet"/>
      <w:lvlText w:val=""/>
      <w:lvlJc w:val="left"/>
      <w:pPr>
        <w:ind w:left="1800" w:hanging="360"/>
      </w:pPr>
      <w:rPr>
        <w:rFonts w:ascii="Wingdings" w:hAnsi="Wingdings" w:hint="default"/>
      </w:rPr>
    </w:lvl>
    <w:lvl w:ilvl="3" w:tplc="040A0001">
      <w:start w:val="1"/>
      <w:numFmt w:val="bullet"/>
      <w:lvlText w:val=""/>
      <w:lvlJc w:val="left"/>
      <w:pPr>
        <w:ind w:left="2520" w:hanging="360"/>
      </w:pPr>
      <w:rPr>
        <w:rFonts w:ascii="Symbol" w:hAnsi="Symbol" w:hint="default"/>
      </w:rPr>
    </w:lvl>
    <w:lvl w:ilvl="4" w:tplc="040A0003">
      <w:start w:val="1"/>
      <w:numFmt w:val="bullet"/>
      <w:lvlText w:val="o"/>
      <w:lvlJc w:val="left"/>
      <w:pPr>
        <w:ind w:left="3240" w:hanging="360"/>
      </w:pPr>
      <w:rPr>
        <w:rFonts w:ascii="Courier New" w:hAnsi="Courier New" w:cs="Courier New" w:hint="default"/>
      </w:rPr>
    </w:lvl>
    <w:lvl w:ilvl="5" w:tplc="040A0005">
      <w:start w:val="1"/>
      <w:numFmt w:val="bullet"/>
      <w:lvlText w:val=""/>
      <w:lvlJc w:val="left"/>
      <w:pPr>
        <w:ind w:left="3960" w:hanging="360"/>
      </w:pPr>
      <w:rPr>
        <w:rFonts w:ascii="Wingdings" w:hAnsi="Wingdings" w:hint="default"/>
      </w:rPr>
    </w:lvl>
    <w:lvl w:ilvl="6" w:tplc="040A0001">
      <w:start w:val="1"/>
      <w:numFmt w:val="bullet"/>
      <w:lvlText w:val=""/>
      <w:lvlJc w:val="left"/>
      <w:pPr>
        <w:ind w:left="4680" w:hanging="360"/>
      </w:pPr>
      <w:rPr>
        <w:rFonts w:ascii="Symbol" w:hAnsi="Symbol" w:hint="default"/>
      </w:rPr>
    </w:lvl>
    <w:lvl w:ilvl="7" w:tplc="040A0003">
      <w:start w:val="1"/>
      <w:numFmt w:val="bullet"/>
      <w:lvlText w:val="o"/>
      <w:lvlJc w:val="left"/>
      <w:pPr>
        <w:ind w:left="5400" w:hanging="360"/>
      </w:pPr>
      <w:rPr>
        <w:rFonts w:ascii="Courier New" w:hAnsi="Courier New" w:cs="Courier New" w:hint="default"/>
      </w:rPr>
    </w:lvl>
    <w:lvl w:ilvl="8" w:tplc="040A0005">
      <w:start w:val="1"/>
      <w:numFmt w:val="bullet"/>
      <w:lvlText w:val=""/>
      <w:lvlJc w:val="left"/>
      <w:pPr>
        <w:ind w:left="612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B86788"/>
    <w:multiLevelType w:val="hybridMultilevel"/>
    <w:tmpl w:val="51CA3E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3E7BA3"/>
    <w:multiLevelType w:val="hybridMultilevel"/>
    <w:tmpl w:val="00DEA7B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1"/>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2"/>
  </w:num>
  <w:num w:numId="46">
    <w:abstractNumId w:val="29"/>
  </w:num>
  <w:num w:numId="47">
    <w:abstractNumId w:val="10"/>
  </w:num>
  <w:num w:numId="48">
    <w:abstractNumId w:val="4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38"/>
    <w:rsid w:val="000005A6"/>
    <w:rsid w:val="0000060B"/>
    <w:rsid w:val="00000AD9"/>
    <w:rsid w:val="00002963"/>
    <w:rsid w:val="00002ED0"/>
    <w:rsid w:val="00003237"/>
    <w:rsid w:val="00003395"/>
    <w:rsid w:val="00003C14"/>
    <w:rsid w:val="000045C0"/>
    <w:rsid w:val="00007577"/>
    <w:rsid w:val="00007B1C"/>
    <w:rsid w:val="0001053A"/>
    <w:rsid w:val="0001056D"/>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E2A"/>
    <w:rsid w:val="00040798"/>
    <w:rsid w:val="00040945"/>
    <w:rsid w:val="0004154F"/>
    <w:rsid w:val="00041BF8"/>
    <w:rsid w:val="000424A6"/>
    <w:rsid w:val="0004271C"/>
    <w:rsid w:val="00043912"/>
    <w:rsid w:val="0004421B"/>
    <w:rsid w:val="00045100"/>
    <w:rsid w:val="00047240"/>
    <w:rsid w:val="00052D17"/>
    <w:rsid w:val="00053C49"/>
    <w:rsid w:val="00054CBB"/>
    <w:rsid w:val="00055089"/>
    <w:rsid w:val="00055987"/>
    <w:rsid w:val="00055CC8"/>
    <w:rsid w:val="00055DCC"/>
    <w:rsid w:val="00056103"/>
    <w:rsid w:val="00056388"/>
    <w:rsid w:val="00056BFB"/>
    <w:rsid w:val="00060884"/>
    <w:rsid w:val="000614DF"/>
    <w:rsid w:val="00064FF5"/>
    <w:rsid w:val="00065724"/>
    <w:rsid w:val="0006665C"/>
    <w:rsid w:val="0007270F"/>
    <w:rsid w:val="00072A42"/>
    <w:rsid w:val="000734AD"/>
    <w:rsid w:val="00074430"/>
    <w:rsid w:val="00075B62"/>
    <w:rsid w:val="00075FE4"/>
    <w:rsid w:val="00077997"/>
    <w:rsid w:val="00081002"/>
    <w:rsid w:val="00082D84"/>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560"/>
    <w:rsid w:val="000B0065"/>
    <w:rsid w:val="000B0A0E"/>
    <w:rsid w:val="000B0CF2"/>
    <w:rsid w:val="000B2D6D"/>
    <w:rsid w:val="000B4B32"/>
    <w:rsid w:val="000B6631"/>
    <w:rsid w:val="000B6BC6"/>
    <w:rsid w:val="000B7452"/>
    <w:rsid w:val="000C099A"/>
    <w:rsid w:val="000C261C"/>
    <w:rsid w:val="000C41CB"/>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654F"/>
    <w:rsid w:val="00107A57"/>
    <w:rsid w:val="00112BD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10"/>
    <w:rsid w:val="00130406"/>
    <w:rsid w:val="00130600"/>
    <w:rsid w:val="001336A8"/>
    <w:rsid w:val="001342AF"/>
    <w:rsid w:val="00134B0F"/>
    <w:rsid w:val="00134B1E"/>
    <w:rsid w:val="00136134"/>
    <w:rsid w:val="00136449"/>
    <w:rsid w:val="001377AC"/>
    <w:rsid w:val="00141564"/>
    <w:rsid w:val="001430AB"/>
    <w:rsid w:val="0014466E"/>
    <w:rsid w:val="0014483E"/>
    <w:rsid w:val="00145870"/>
    <w:rsid w:val="00145ACE"/>
    <w:rsid w:val="001465E7"/>
    <w:rsid w:val="00147414"/>
    <w:rsid w:val="00147948"/>
    <w:rsid w:val="00150136"/>
    <w:rsid w:val="001509CD"/>
    <w:rsid w:val="00152808"/>
    <w:rsid w:val="00153554"/>
    <w:rsid w:val="001537A2"/>
    <w:rsid w:val="0015496C"/>
    <w:rsid w:val="001561BF"/>
    <w:rsid w:val="001579D9"/>
    <w:rsid w:val="001605AB"/>
    <w:rsid w:val="00160637"/>
    <w:rsid w:val="00160AA6"/>
    <w:rsid w:val="00160CFF"/>
    <w:rsid w:val="00160D48"/>
    <w:rsid w:val="0016287A"/>
    <w:rsid w:val="00163EF7"/>
    <w:rsid w:val="00165FAC"/>
    <w:rsid w:val="00166CD3"/>
    <w:rsid w:val="001709AC"/>
    <w:rsid w:val="00170FFA"/>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08FB"/>
    <w:rsid w:val="00193416"/>
    <w:rsid w:val="00193567"/>
    <w:rsid w:val="00196CAD"/>
    <w:rsid w:val="00197D65"/>
    <w:rsid w:val="001A097F"/>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8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6CC"/>
    <w:rsid w:val="001E39F7"/>
    <w:rsid w:val="001E4EA0"/>
    <w:rsid w:val="001E5077"/>
    <w:rsid w:val="001E5D8B"/>
    <w:rsid w:val="001E6167"/>
    <w:rsid w:val="001E6612"/>
    <w:rsid w:val="001E6F38"/>
    <w:rsid w:val="001F0649"/>
    <w:rsid w:val="001F0B49"/>
    <w:rsid w:val="001F0EA4"/>
    <w:rsid w:val="001F2981"/>
    <w:rsid w:val="001F32D8"/>
    <w:rsid w:val="001F664C"/>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8E4"/>
    <w:rsid w:val="002360C4"/>
    <w:rsid w:val="002369F0"/>
    <w:rsid w:val="00237038"/>
    <w:rsid w:val="002375BE"/>
    <w:rsid w:val="00240C6A"/>
    <w:rsid w:val="00242BC9"/>
    <w:rsid w:val="002436E8"/>
    <w:rsid w:val="00243F6E"/>
    <w:rsid w:val="002445B3"/>
    <w:rsid w:val="0024482C"/>
    <w:rsid w:val="002459F8"/>
    <w:rsid w:val="00245A94"/>
    <w:rsid w:val="00245D08"/>
    <w:rsid w:val="00245DDB"/>
    <w:rsid w:val="0024676B"/>
    <w:rsid w:val="00246BF8"/>
    <w:rsid w:val="002502EB"/>
    <w:rsid w:val="00251057"/>
    <w:rsid w:val="0025125A"/>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207"/>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5D9C"/>
    <w:rsid w:val="002B71DC"/>
    <w:rsid w:val="002C235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A2D"/>
    <w:rsid w:val="002E5040"/>
    <w:rsid w:val="002E53D8"/>
    <w:rsid w:val="002E70BE"/>
    <w:rsid w:val="002E7DBF"/>
    <w:rsid w:val="002F1E12"/>
    <w:rsid w:val="002F348C"/>
    <w:rsid w:val="002F476F"/>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806"/>
    <w:rsid w:val="00364C02"/>
    <w:rsid w:val="003664A7"/>
    <w:rsid w:val="00366BBD"/>
    <w:rsid w:val="0037162C"/>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378F"/>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4BF0"/>
    <w:rsid w:val="004151CA"/>
    <w:rsid w:val="00415A82"/>
    <w:rsid w:val="00416D6F"/>
    <w:rsid w:val="00420457"/>
    <w:rsid w:val="00420BEE"/>
    <w:rsid w:val="00422BDE"/>
    <w:rsid w:val="004233BD"/>
    <w:rsid w:val="004252E2"/>
    <w:rsid w:val="00425C73"/>
    <w:rsid w:val="00426032"/>
    <w:rsid w:val="00427A8D"/>
    <w:rsid w:val="004300F4"/>
    <w:rsid w:val="00430B3D"/>
    <w:rsid w:val="004317DD"/>
    <w:rsid w:val="00431D0F"/>
    <w:rsid w:val="00432E77"/>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8F6"/>
    <w:rsid w:val="00464A63"/>
    <w:rsid w:val="004650D5"/>
    <w:rsid w:val="00465D0B"/>
    <w:rsid w:val="00466128"/>
    <w:rsid w:val="004678BE"/>
    <w:rsid w:val="00471B6A"/>
    <w:rsid w:val="00472B7C"/>
    <w:rsid w:val="00472BC0"/>
    <w:rsid w:val="004754FF"/>
    <w:rsid w:val="00475714"/>
    <w:rsid w:val="00475C24"/>
    <w:rsid w:val="00476A9C"/>
    <w:rsid w:val="00476F88"/>
    <w:rsid w:val="00477ED3"/>
    <w:rsid w:val="0048026F"/>
    <w:rsid w:val="00481380"/>
    <w:rsid w:val="0048143B"/>
    <w:rsid w:val="0048153F"/>
    <w:rsid w:val="004826D0"/>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28"/>
    <w:rsid w:val="004B2248"/>
    <w:rsid w:val="004B31D1"/>
    <w:rsid w:val="004B3523"/>
    <w:rsid w:val="004B3D28"/>
    <w:rsid w:val="004B4F03"/>
    <w:rsid w:val="004B7AEC"/>
    <w:rsid w:val="004C0033"/>
    <w:rsid w:val="004C086B"/>
    <w:rsid w:val="004C098E"/>
    <w:rsid w:val="004C0C29"/>
    <w:rsid w:val="004C101C"/>
    <w:rsid w:val="004C1224"/>
    <w:rsid w:val="004C351E"/>
    <w:rsid w:val="004C357A"/>
    <w:rsid w:val="004C4E92"/>
    <w:rsid w:val="004C6489"/>
    <w:rsid w:val="004D2598"/>
    <w:rsid w:val="004D26D5"/>
    <w:rsid w:val="004D3E0F"/>
    <w:rsid w:val="004D47CA"/>
    <w:rsid w:val="004D7473"/>
    <w:rsid w:val="004E1FEC"/>
    <w:rsid w:val="004E204B"/>
    <w:rsid w:val="004E2103"/>
    <w:rsid w:val="004E267C"/>
    <w:rsid w:val="004E2D7B"/>
    <w:rsid w:val="004E2F9A"/>
    <w:rsid w:val="004E309A"/>
    <w:rsid w:val="004E330E"/>
    <w:rsid w:val="004E33D4"/>
    <w:rsid w:val="004E3F2E"/>
    <w:rsid w:val="004E5458"/>
    <w:rsid w:val="004E67C9"/>
    <w:rsid w:val="004E6D38"/>
    <w:rsid w:val="004E79A7"/>
    <w:rsid w:val="004F0F05"/>
    <w:rsid w:val="004F1F6D"/>
    <w:rsid w:val="004F3EB5"/>
    <w:rsid w:val="004F4F02"/>
    <w:rsid w:val="004F55AE"/>
    <w:rsid w:val="0050052A"/>
    <w:rsid w:val="00501003"/>
    <w:rsid w:val="00501A3E"/>
    <w:rsid w:val="00504E76"/>
    <w:rsid w:val="00504E7F"/>
    <w:rsid w:val="00504E99"/>
    <w:rsid w:val="00505D8E"/>
    <w:rsid w:val="00506B33"/>
    <w:rsid w:val="00506CBD"/>
    <w:rsid w:val="0050771F"/>
    <w:rsid w:val="0051073C"/>
    <w:rsid w:val="00511CAA"/>
    <w:rsid w:val="00512914"/>
    <w:rsid w:val="00514929"/>
    <w:rsid w:val="005156B4"/>
    <w:rsid w:val="00515B9F"/>
    <w:rsid w:val="00516189"/>
    <w:rsid w:val="005162BC"/>
    <w:rsid w:val="00520266"/>
    <w:rsid w:val="00520775"/>
    <w:rsid w:val="0052196E"/>
    <w:rsid w:val="005249BE"/>
    <w:rsid w:val="005321BB"/>
    <w:rsid w:val="0053314E"/>
    <w:rsid w:val="005338E0"/>
    <w:rsid w:val="00541740"/>
    <w:rsid w:val="00542686"/>
    <w:rsid w:val="00543C0E"/>
    <w:rsid w:val="0054461F"/>
    <w:rsid w:val="00544B1D"/>
    <w:rsid w:val="00546161"/>
    <w:rsid w:val="00547D69"/>
    <w:rsid w:val="00550081"/>
    <w:rsid w:val="00551EBA"/>
    <w:rsid w:val="005530DA"/>
    <w:rsid w:val="00553D36"/>
    <w:rsid w:val="00554E12"/>
    <w:rsid w:val="00556B59"/>
    <w:rsid w:val="00556E51"/>
    <w:rsid w:val="00556FF1"/>
    <w:rsid w:val="0056180D"/>
    <w:rsid w:val="0056209F"/>
    <w:rsid w:val="005673B6"/>
    <w:rsid w:val="0057280B"/>
    <w:rsid w:val="005731B9"/>
    <w:rsid w:val="00573512"/>
    <w:rsid w:val="00573F49"/>
    <w:rsid w:val="00574023"/>
    <w:rsid w:val="005741B2"/>
    <w:rsid w:val="005749BE"/>
    <w:rsid w:val="005765E5"/>
    <w:rsid w:val="00577620"/>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4EF9"/>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572C"/>
    <w:rsid w:val="005B59FF"/>
    <w:rsid w:val="005B6482"/>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46B"/>
    <w:rsid w:val="006069D7"/>
    <w:rsid w:val="00606C0E"/>
    <w:rsid w:val="00606C9C"/>
    <w:rsid w:val="00606F9C"/>
    <w:rsid w:val="00611658"/>
    <w:rsid w:val="00611BC6"/>
    <w:rsid w:val="00612617"/>
    <w:rsid w:val="00612A66"/>
    <w:rsid w:val="00617B2B"/>
    <w:rsid w:val="00617FAD"/>
    <w:rsid w:val="00620952"/>
    <w:rsid w:val="00620C73"/>
    <w:rsid w:val="00622421"/>
    <w:rsid w:val="00622B27"/>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C7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39AC"/>
    <w:rsid w:val="00694714"/>
    <w:rsid w:val="00696B77"/>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7886"/>
    <w:rsid w:val="006E7ABC"/>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1695"/>
    <w:rsid w:val="0074279F"/>
    <w:rsid w:val="00744621"/>
    <w:rsid w:val="00744D81"/>
    <w:rsid w:val="00746013"/>
    <w:rsid w:val="007467AD"/>
    <w:rsid w:val="00747382"/>
    <w:rsid w:val="00750430"/>
    <w:rsid w:val="00750DE7"/>
    <w:rsid w:val="00750FCD"/>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808FE"/>
    <w:rsid w:val="00781394"/>
    <w:rsid w:val="00781D2F"/>
    <w:rsid w:val="0078214C"/>
    <w:rsid w:val="00782416"/>
    <w:rsid w:val="0078481F"/>
    <w:rsid w:val="00786487"/>
    <w:rsid w:val="00790B65"/>
    <w:rsid w:val="00792BA0"/>
    <w:rsid w:val="00792E14"/>
    <w:rsid w:val="00793736"/>
    <w:rsid w:val="00795400"/>
    <w:rsid w:val="007A2150"/>
    <w:rsid w:val="007A3699"/>
    <w:rsid w:val="007A39F9"/>
    <w:rsid w:val="007A3B3F"/>
    <w:rsid w:val="007A3CFB"/>
    <w:rsid w:val="007A6F89"/>
    <w:rsid w:val="007B065C"/>
    <w:rsid w:val="007B0787"/>
    <w:rsid w:val="007B0E85"/>
    <w:rsid w:val="007B2102"/>
    <w:rsid w:val="007B7C6B"/>
    <w:rsid w:val="007B7F00"/>
    <w:rsid w:val="007C0BCF"/>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347D"/>
    <w:rsid w:val="008448C3"/>
    <w:rsid w:val="0084508A"/>
    <w:rsid w:val="00846385"/>
    <w:rsid w:val="0085047F"/>
    <w:rsid w:val="00850FB7"/>
    <w:rsid w:val="00851A7D"/>
    <w:rsid w:val="00851F78"/>
    <w:rsid w:val="008521C9"/>
    <w:rsid w:val="00852CB8"/>
    <w:rsid w:val="00853DE0"/>
    <w:rsid w:val="008547B6"/>
    <w:rsid w:val="00854FF4"/>
    <w:rsid w:val="00855373"/>
    <w:rsid w:val="00855F42"/>
    <w:rsid w:val="00860217"/>
    <w:rsid w:val="008608DE"/>
    <w:rsid w:val="00860A17"/>
    <w:rsid w:val="00861603"/>
    <w:rsid w:val="00861C23"/>
    <w:rsid w:val="00862BB9"/>
    <w:rsid w:val="008648B7"/>
    <w:rsid w:val="00864FEC"/>
    <w:rsid w:val="008650CE"/>
    <w:rsid w:val="008652A4"/>
    <w:rsid w:val="00866D7A"/>
    <w:rsid w:val="008673B1"/>
    <w:rsid w:val="008706F1"/>
    <w:rsid w:val="00870A41"/>
    <w:rsid w:val="008712CE"/>
    <w:rsid w:val="00872132"/>
    <w:rsid w:val="008733A1"/>
    <w:rsid w:val="00873DD0"/>
    <w:rsid w:val="00874A59"/>
    <w:rsid w:val="0087630C"/>
    <w:rsid w:val="0088101F"/>
    <w:rsid w:val="0088129A"/>
    <w:rsid w:val="00881934"/>
    <w:rsid w:val="008827BC"/>
    <w:rsid w:val="0088322F"/>
    <w:rsid w:val="00883658"/>
    <w:rsid w:val="00883F17"/>
    <w:rsid w:val="008844D7"/>
    <w:rsid w:val="00884590"/>
    <w:rsid w:val="008847E0"/>
    <w:rsid w:val="00884AC9"/>
    <w:rsid w:val="00885724"/>
    <w:rsid w:val="00885888"/>
    <w:rsid w:val="0088705C"/>
    <w:rsid w:val="008874D0"/>
    <w:rsid w:val="00887B8D"/>
    <w:rsid w:val="0089018C"/>
    <w:rsid w:val="0089276D"/>
    <w:rsid w:val="00892F7E"/>
    <w:rsid w:val="0089346B"/>
    <w:rsid w:val="008963F4"/>
    <w:rsid w:val="0089680D"/>
    <w:rsid w:val="00897531"/>
    <w:rsid w:val="00897762"/>
    <w:rsid w:val="00897A58"/>
    <w:rsid w:val="008A22A1"/>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47F6"/>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A49"/>
    <w:rsid w:val="008E69E6"/>
    <w:rsid w:val="008E7DE8"/>
    <w:rsid w:val="008F1683"/>
    <w:rsid w:val="008F1AFE"/>
    <w:rsid w:val="008F24FB"/>
    <w:rsid w:val="008F4077"/>
    <w:rsid w:val="008F44AF"/>
    <w:rsid w:val="008F5680"/>
    <w:rsid w:val="008F5875"/>
    <w:rsid w:val="008F7010"/>
    <w:rsid w:val="008F7B92"/>
    <w:rsid w:val="00900160"/>
    <w:rsid w:val="009026FC"/>
    <w:rsid w:val="00902AA8"/>
    <w:rsid w:val="009037A0"/>
    <w:rsid w:val="00904A8C"/>
    <w:rsid w:val="00905111"/>
    <w:rsid w:val="00906412"/>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27D2C"/>
    <w:rsid w:val="009327BB"/>
    <w:rsid w:val="00934207"/>
    <w:rsid w:val="00935E4C"/>
    <w:rsid w:val="0093663A"/>
    <w:rsid w:val="009366EF"/>
    <w:rsid w:val="009409B3"/>
    <w:rsid w:val="009410D2"/>
    <w:rsid w:val="0094218C"/>
    <w:rsid w:val="009424C1"/>
    <w:rsid w:val="00943096"/>
    <w:rsid w:val="0094531F"/>
    <w:rsid w:val="00946F33"/>
    <w:rsid w:val="00947B8B"/>
    <w:rsid w:val="009526A9"/>
    <w:rsid w:val="00952F67"/>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2CCF"/>
    <w:rsid w:val="0099574D"/>
    <w:rsid w:val="009957EF"/>
    <w:rsid w:val="00996665"/>
    <w:rsid w:val="009A0399"/>
    <w:rsid w:val="009A0C31"/>
    <w:rsid w:val="009A22C7"/>
    <w:rsid w:val="009A4454"/>
    <w:rsid w:val="009A5129"/>
    <w:rsid w:val="009A5A7B"/>
    <w:rsid w:val="009A5B3A"/>
    <w:rsid w:val="009A5BAD"/>
    <w:rsid w:val="009A6208"/>
    <w:rsid w:val="009A7909"/>
    <w:rsid w:val="009B4F83"/>
    <w:rsid w:val="009B5374"/>
    <w:rsid w:val="009B58AB"/>
    <w:rsid w:val="009B5D0D"/>
    <w:rsid w:val="009B61FC"/>
    <w:rsid w:val="009B69F5"/>
    <w:rsid w:val="009B7AA8"/>
    <w:rsid w:val="009C02DD"/>
    <w:rsid w:val="009C0793"/>
    <w:rsid w:val="009C1576"/>
    <w:rsid w:val="009C3388"/>
    <w:rsid w:val="009C4D47"/>
    <w:rsid w:val="009C6A77"/>
    <w:rsid w:val="009C6C80"/>
    <w:rsid w:val="009D15D1"/>
    <w:rsid w:val="009D2158"/>
    <w:rsid w:val="009D3ED0"/>
    <w:rsid w:val="009D6493"/>
    <w:rsid w:val="009D6D65"/>
    <w:rsid w:val="009D6E2B"/>
    <w:rsid w:val="009E074E"/>
    <w:rsid w:val="009E1ABD"/>
    <w:rsid w:val="009E263F"/>
    <w:rsid w:val="009E3833"/>
    <w:rsid w:val="009E3D43"/>
    <w:rsid w:val="009E4967"/>
    <w:rsid w:val="009E49AA"/>
    <w:rsid w:val="009E4AEC"/>
    <w:rsid w:val="009E5EF3"/>
    <w:rsid w:val="009E6C7D"/>
    <w:rsid w:val="009F02E4"/>
    <w:rsid w:val="009F3963"/>
    <w:rsid w:val="009F3A8E"/>
    <w:rsid w:val="009F3FF6"/>
    <w:rsid w:val="009F4313"/>
    <w:rsid w:val="009F575B"/>
    <w:rsid w:val="009F601D"/>
    <w:rsid w:val="009F6035"/>
    <w:rsid w:val="00A0358B"/>
    <w:rsid w:val="00A03F57"/>
    <w:rsid w:val="00A0505E"/>
    <w:rsid w:val="00A1072B"/>
    <w:rsid w:val="00A1163C"/>
    <w:rsid w:val="00A122C0"/>
    <w:rsid w:val="00A1645B"/>
    <w:rsid w:val="00A16813"/>
    <w:rsid w:val="00A175F9"/>
    <w:rsid w:val="00A20A5C"/>
    <w:rsid w:val="00A20A8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D0B"/>
    <w:rsid w:val="00A41D5A"/>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470E"/>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32F1"/>
    <w:rsid w:val="00A75A55"/>
    <w:rsid w:val="00A75E8B"/>
    <w:rsid w:val="00A7686D"/>
    <w:rsid w:val="00A76CD7"/>
    <w:rsid w:val="00A7773C"/>
    <w:rsid w:val="00A8042B"/>
    <w:rsid w:val="00A81E17"/>
    <w:rsid w:val="00A82359"/>
    <w:rsid w:val="00A8388D"/>
    <w:rsid w:val="00A85184"/>
    <w:rsid w:val="00A872D5"/>
    <w:rsid w:val="00A87A36"/>
    <w:rsid w:val="00A90960"/>
    <w:rsid w:val="00A90DD7"/>
    <w:rsid w:val="00A92ACE"/>
    <w:rsid w:val="00A92EAE"/>
    <w:rsid w:val="00A93D75"/>
    <w:rsid w:val="00A96031"/>
    <w:rsid w:val="00A979F0"/>
    <w:rsid w:val="00AA1283"/>
    <w:rsid w:val="00AA1D47"/>
    <w:rsid w:val="00AA697C"/>
    <w:rsid w:val="00AB1657"/>
    <w:rsid w:val="00AB1ED0"/>
    <w:rsid w:val="00AB2275"/>
    <w:rsid w:val="00AB2284"/>
    <w:rsid w:val="00AB2324"/>
    <w:rsid w:val="00AB260F"/>
    <w:rsid w:val="00AB3161"/>
    <w:rsid w:val="00AB49A8"/>
    <w:rsid w:val="00AB4F54"/>
    <w:rsid w:val="00AB4FC0"/>
    <w:rsid w:val="00AB6496"/>
    <w:rsid w:val="00AC1D9F"/>
    <w:rsid w:val="00AC3111"/>
    <w:rsid w:val="00AC3261"/>
    <w:rsid w:val="00AC3942"/>
    <w:rsid w:val="00AC651D"/>
    <w:rsid w:val="00AC7FB1"/>
    <w:rsid w:val="00AD00B7"/>
    <w:rsid w:val="00AD069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78E"/>
    <w:rsid w:val="00B02AA5"/>
    <w:rsid w:val="00B04B13"/>
    <w:rsid w:val="00B04FD3"/>
    <w:rsid w:val="00B0620A"/>
    <w:rsid w:val="00B06DA9"/>
    <w:rsid w:val="00B11619"/>
    <w:rsid w:val="00B1269E"/>
    <w:rsid w:val="00B12F73"/>
    <w:rsid w:val="00B1358F"/>
    <w:rsid w:val="00B13836"/>
    <w:rsid w:val="00B13AAB"/>
    <w:rsid w:val="00B13D30"/>
    <w:rsid w:val="00B146F7"/>
    <w:rsid w:val="00B14A74"/>
    <w:rsid w:val="00B15BDF"/>
    <w:rsid w:val="00B15FDA"/>
    <w:rsid w:val="00B161C6"/>
    <w:rsid w:val="00B16D95"/>
    <w:rsid w:val="00B174A6"/>
    <w:rsid w:val="00B21421"/>
    <w:rsid w:val="00B2230B"/>
    <w:rsid w:val="00B2250C"/>
    <w:rsid w:val="00B250A3"/>
    <w:rsid w:val="00B31EBA"/>
    <w:rsid w:val="00B32F71"/>
    <w:rsid w:val="00B337EE"/>
    <w:rsid w:val="00B349A8"/>
    <w:rsid w:val="00B3530A"/>
    <w:rsid w:val="00B359E5"/>
    <w:rsid w:val="00B37185"/>
    <w:rsid w:val="00B371DF"/>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2012"/>
    <w:rsid w:val="00B73BA5"/>
    <w:rsid w:val="00B74632"/>
    <w:rsid w:val="00B76918"/>
    <w:rsid w:val="00B77491"/>
    <w:rsid w:val="00B82DAA"/>
    <w:rsid w:val="00B82F38"/>
    <w:rsid w:val="00B8358D"/>
    <w:rsid w:val="00B83665"/>
    <w:rsid w:val="00B840C8"/>
    <w:rsid w:val="00B85B65"/>
    <w:rsid w:val="00B85D9B"/>
    <w:rsid w:val="00B90AA8"/>
    <w:rsid w:val="00B91F38"/>
    <w:rsid w:val="00B94E7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C6747"/>
    <w:rsid w:val="00BD25F9"/>
    <w:rsid w:val="00BD4D4D"/>
    <w:rsid w:val="00BD55B5"/>
    <w:rsid w:val="00BD7534"/>
    <w:rsid w:val="00BE0CA3"/>
    <w:rsid w:val="00BE0E05"/>
    <w:rsid w:val="00BE15EA"/>
    <w:rsid w:val="00BE22BB"/>
    <w:rsid w:val="00BE5465"/>
    <w:rsid w:val="00BE5BD7"/>
    <w:rsid w:val="00BE659F"/>
    <w:rsid w:val="00BF01B9"/>
    <w:rsid w:val="00BF032A"/>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7E09"/>
    <w:rsid w:val="00C723AA"/>
    <w:rsid w:val="00C7355F"/>
    <w:rsid w:val="00C74A13"/>
    <w:rsid w:val="00C75B51"/>
    <w:rsid w:val="00C75D80"/>
    <w:rsid w:val="00C76085"/>
    <w:rsid w:val="00C80F09"/>
    <w:rsid w:val="00C81868"/>
    <w:rsid w:val="00C81995"/>
    <w:rsid w:val="00C81B29"/>
    <w:rsid w:val="00C81FA5"/>
    <w:rsid w:val="00C83737"/>
    <w:rsid w:val="00C84437"/>
    <w:rsid w:val="00C85044"/>
    <w:rsid w:val="00C85104"/>
    <w:rsid w:val="00C86F3D"/>
    <w:rsid w:val="00C876C3"/>
    <w:rsid w:val="00C93458"/>
    <w:rsid w:val="00C96C41"/>
    <w:rsid w:val="00C976C4"/>
    <w:rsid w:val="00C97809"/>
    <w:rsid w:val="00CA1E81"/>
    <w:rsid w:val="00CA2A6D"/>
    <w:rsid w:val="00CA3E5E"/>
    <w:rsid w:val="00CA5989"/>
    <w:rsid w:val="00CA5D6C"/>
    <w:rsid w:val="00CB00BE"/>
    <w:rsid w:val="00CB0BAA"/>
    <w:rsid w:val="00CB1E47"/>
    <w:rsid w:val="00CB36A6"/>
    <w:rsid w:val="00CB387A"/>
    <w:rsid w:val="00CB3ECC"/>
    <w:rsid w:val="00CB4B2B"/>
    <w:rsid w:val="00CB69C1"/>
    <w:rsid w:val="00CB6A2D"/>
    <w:rsid w:val="00CB7DC8"/>
    <w:rsid w:val="00CB7F2C"/>
    <w:rsid w:val="00CC0445"/>
    <w:rsid w:val="00CC10B2"/>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4856"/>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1B7"/>
    <w:rsid w:val="00D25329"/>
    <w:rsid w:val="00D263B0"/>
    <w:rsid w:val="00D26651"/>
    <w:rsid w:val="00D3107B"/>
    <w:rsid w:val="00D314D0"/>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62A"/>
    <w:rsid w:val="00D46861"/>
    <w:rsid w:val="00D46E8B"/>
    <w:rsid w:val="00D52360"/>
    <w:rsid w:val="00D5281A"/>
    <w:rsid w:val="00D56227"/>
    <w:rsid w:val="00D56C34"/>
    <w:rsid w:val="00D57186"/>
    <w:rsid w:val="00D577BC"/>
    <w:rsid w:val="00D629DF"/>
    <w:rsid w:val="00D62ACE"/>
    <w:rsid w:val="00D6385D"/>
    <w:rsid w:val="00D63D50"/>
    <w:rsid w:val="00D6570A"/>
    <w:rsid w:val="00D66B74"/>
    <w:rsid w:val="00D671F3"/>
    <w:rsid w:val="00D717A4"/>
    <w:rsid w:val="00D71CE7"/>
    <w:rsid w:val="00D72685"/>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A4E"/>
    <w:rsid w:val="00D972E5"/>
    <w:rsid w:val="00D97968"/>
    <w:rsid w:val="00DA2070"/>
    <w:rsid w:val="00DA5C6F"/>
    <w:rsid w:val="00DA7264"/>
    <w:rsid w:val="00DB0F98"/>
    <w:rsid w:val="00DB1F3B"/>
    <w:rsid w:val="00DB2646"/>
    <w:rsid w:val="00DB364B"/>
    <w:rsid w:val="00DB40E9"/>
    <w:rsid w:val="00DB4768"/>
    <w:rsid w:val="00DB58E6"/>
    <w:rsid w:val="00DB6BCD"/>
    <w:rsid w:val="00DC59B5"/>
    <w:rsid w:val="00DC6FF4"/>
    <w:rsid w:val="00DD0DF5"/>
    <w:rsid w:val="00DD31D4"/>
    <w:rsid w:val="00DD33A6"/>
    <w:rsid w:val="00DD3DAD"/>
    <w:rsid w:val="00DD3DE7"/>
    <w:rsid w:val="00DD4A3C"/>
    <w:rsid w:val="00DD7F61"/>
    <w:rsid w:val="00DE1748"/>
    <w:rsid w:val="00DE332A"/>
    <w:rsid w:val="00DE3898"/>
    <w:rsid w:val="00DE3C86"/>
    <w:rsid w:val="00DE477F"/>
    <w:rsid w:val="00DE4D15"/>
    <w:rsid w:val="00DE6295"/>
    <w:rsid w:val="00DE7A66"/>
    <w:rsid w:val="00DF1F2E"/>
    <w:rsid w:val="00DF2EE4"/>
    <w:rsid w:val="00DF3EFF"/>
    <w:rsid w:val="00DF4471"/>
    <w:rsid w:val="00DF5549"/>
    <w:rsid w:val="00DF563E"/>
    <w:rsid w:val="00DF5A3F"/>
    <w:rsid w:val="00DF675B"/>
    <w:rsid w:val="00DF7897"/>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D7F"/>
    <w:rsid w:val="00E327B4"/>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37C"/>
    <w:rsid w:val="00E834B6"/>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219"/>
    <w:rsid w:val="00EB6442"/>
    <w:rsid w:val="00EB6A64"/>
    <w:rsid w:val="00EB7B0F"/>
    <w:rsid w:val="00EB7C14"/>
    <w:rsid w:val="00EC1524"/>
    <w:rsid w:val="00EC2985"/>
    <w:rsid w:val="00EC31ED"/>
    <w:rsid w:val="00EC3D68"/>
    <w:rsid w:val="00EC52FD"/>
    <w:rsid w:val="00EC5355"/>
    <w:rsid w:val="00ED0BBC"/>
    <w:rsid w:val="00ED18E0"/>
    <w:rsid w:val="00ED239F"/>
    <w:rsid w:val="00ED2B29"/>
    <w:rsid w:val="00ED2CBB"/>
    <w:rsid w:val="00ED73AC"/>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F57"/>
    <w:rsid w:val="00F03535"/>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EB7"/>
    <w:rsid w:val="00F3535D"/>
    <w:rsid w:val="00F3536F"/>
    <w:rsid w:val="00F35D9A"/>
    <w:rsid w:val="00F37025"/>
    <w:rsid w:val="00F37CBB"/>
    <w:rsid w:val="00F40C4A"/>
    <w:rsid w:val="00F41661"/>
    <w:rsid w:val="00F41B41"/>
    <w:rsid w:val="00F43A53"/>
    <w:rsid w:val="00F44729"/>
    <w:rsid w:val="00F45493"/>
    <w:rsid w:val="00F46700"/>
    <w:rsid w:val="00F472EB"/>
    <w:rsid w:val="00F50A1A"/>
    <w:rsid w:val="00F52195"/>
    <w:rsid w:val="00F52BF0"/>
    <w:rsid w:val="00F542F5"/>
    <w:rsid w:val="00F54A73"/>
    <w:rsid w:val="00F54DE9"/>
    <w:rsid w:val="00F55612"/>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29A"/>
    <w:rsid w:val="00F767D9"/>
    <w:rsid w:val="00F76CA8"/>
    <w:rsid w:val="00F77121"/>
    <w:rsid w:val="00F80538"/>
    <w:rsid w:val="00F80761"/>
    <w:rsid w:val="00F80D3D"/>
    <w:rsid w:val="00F81389"/>
    <w:rsid w:val="00F857AA"/>
    <w:rsid w:val="00F85B13"/>
    <w:rsid w:val="00F8651B"/>
    <w:rsid w:val="00F86A7D"/>
    <w:rsid w:val="00F92FF5"/>
    <w:rsid w:val="00F93235"/>
    <w:rsid w:val="00F947A9"/>
    <w:rsid w:val="00F95C8A"/>
    <w:rsid w:val="00F95D3F"/>
    <w:rsid w:val="00F96421"/>
    <w:rsid w:val="00F96913"/>
    <w:rsid w:val="00F96C1D"/>
    <w:rsid w:val="00F9756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024"/>
    <w:rsid w:val="00FB51B2"/>
    <w:rsid w:val="00FB678E"/>
    <w:rsid w:val="00FC1F37"/>
    <w:rsid w:val="00FC218B"/>
    <w:rsid w:val="00FC3794"/>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0760"/>
    <w:rsid w:val="00FE17CD"/>
    <w:rsid w:val="00FE34F5"/>
    <w:rsid w:val="00FE36F5"/>
    <w:rsid w:val="00FE3B6E"/>
    <w:rsid w:val="00FE4147"/>
    <w:rsid w:val="00FE550C"/>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E63BB"/>
  <w15:chartTrackingRefBased/>
  <w15:docId w15:val="{F4DE9B68-28CE-4E7F-84A1-439297FD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8A1"/>
    <w:pPr>
      <w:overflowPunct w:val="0"/>
      <w:autoSpaceDE w:val="0"/>
      <w:autoSpaceDN w:val="0"/>
      <w:adjustRightInd w:val="0"/>
      <w:spacing w:after="180"/>
      <w:textAlignment w:val="baseline"/>
    </w:pPr>
    <w:rPr>
      <w:color w:val="000000"/>
      <w:lang w:val="en-GB" w:eastAsia="ja-JP"/>
    </w:rPr>
  </w:style>
  <w:style w:type="paragraph" w:styleId="Ttulo1">
    <w:name w:val="heading 1"/>
    <w:next w:val="Normal"/>
    <w:link w:val="Ttulo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rPr>
      <w:b w:val="0"/>
      <w:sz w:val="20"/>
    </w:rPr>
  </w:style>
  <w:style w:type="paragraph" w:styleId="Ttulo7">
    <w:name w:val="heading 7"/>
    <w:basedOn w:val="H6"/>
    <w:next w:val="Normal"/>
    <w:qFormat/>
    <w:pPr>
      <w:outlineLvl w:val="6"/>
    </w:pPr>
    <w:rPr>
      <w:b w:val="0"/>
      <w:sz w:val="20"/>
    </w:r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735EE8"/>
    <w:rPr>
      <w:rFonts w:ascii="Arial" w:hAnsi="Arial"/>
      <w:sz w:val="36"/>
      <w:lang w:val="en-GB" w:eastAsia="ja-JP" w:bidi="ar-SA"/>
    </w:rPr>
  </w:style>
  <w:style w:type="character" w:customStyle="1" w:styleId="Ttulo2Car">
    <w:name w:val="Título 2 Car"/>
    <w:link w:val="Ttulo2"/>
    <w:rsid w:val="00EA7DEB"/>
    <w:rPr>
      <w:rFonts w:ascii="Arial" w:hAnsi="Arial"/>
      <w:sz w:val="32"/>
      <w:lang w:val="en-GB" w:eastAsia="ja-JP"/>
    </w:rPr>
  </w:style>
  <w:style w:type="character" w:customStyle="1" w:styleId="Ttulo3Car">
    <w:name w:val="Título 3 Car"/>
    <w:link w:val="Ttulo3"/>
    <w:rsid w:val="00CD4913"/>
    <w:rPr>
      <w:rFonts w:ascii="Arial" w:hAnsi="Arial"/>
      <w:sz w:val="28"/>
      <w:lang w:val="en-GB" w:eastAsia="ja-JP"/>
    </w:rPr>
  </w:style>
  <w:style w:type="paragraph" w:customStyle="1" w:styleId="H6">
    <w:name w:val="H6"/>
    <w:basedOn w:val="Ttulo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D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DC2">
    <w:name w:val="toc 2"/>
    <w:basedOn w:val="TDC1"/>
    <w:semiHidden/>
    <w:pPr>
      <w:keepNext w:val="0"/>
      <w:spacing w:before="0"/>
      <w:ind w:left="851" w:hanging="851"/>
    </w:pPr>
    <w:rPr>
      <w:sz w:val="20"/>
    </w:rPr>
  </w:style>
  <w:style w:type="paragraph" w:styleId="TDC3">
    <w:name w:val="toc 3"/>
    <w:basedOn w:val="TDC2"/>
    <w:semiHidden/>
    <w:pPr>
      <w:ind w:left="1134" w:hanging="1134"/>
    </w:pPr>
  </w:style>
  <w:style w:type="paragraph" w:styleId="TDC4">
    <w:name w:val="toc 4"/>
    <w:basedOn w:val="TDC3"/>
    <w:semiHidden/>
    <w:pPr>
      <w:ind w:left="1418" w:hanging="1418"/>
    </w:pPr>
  </w:style>
  <w:style w:type="paragraph" w:styleId="TDC5">
    <w:name w:val="toc 5"/>
    <w:basedOn w:val="TDC4"/>
    <w:semiHidden/>
    <w:pPr>
      <w:ind w:left="1701" w:hanging="1701"/>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TDC8">
    <w:name w:val="toc 8"/>
    <w:basedOn w:val="TDC1"/>
    <w:semiHidden/>
    <w:pPr>
      <w:spacing w:before="180"/>
      <w:ind w:left="2693" w:hanging="2693"/>
    </w:pPr>
    <w:rPr>
      <w:b/>
    </w:rPr>
  </w:style>
  <w:style w:type="paragraph" w:styleId="TDC9">
    <w:name w:val="toc 9"/>
    <w:basedOn w:val="TDC8"/>
    <w:semiHidden/>
    <w:pPr>
      <w:ind w:left="1418" w:hanging="1418"/>
    </w:pPr>
  </w:style>
  <w:style w:type="paragraph" w:customStyle="1" w:styleId="TT">
    <w:name w:val="TT"/>
    <w:basedOn w:val="Ttulo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epgina">
    <w:name w:val="footer"/>
    <w:basedOn w:val="Normal"/>
    <w:pPr>
      <w:tabs>
        <w:tab w:val="center" w:pos="4153"/>
        <w:tab w:val="right" w:pos="8306"/>
      </w:tabs>
    </w:pPr>
  </w:style>
  <w:style w:type="paragraph" w:styleId="Encabezado">
    <w:name w:val="header"/>
    <w:basedOn w:val="Normal"/>
    <w:link w:val="EncabezadoCar"/>
    <w:pPr>
      <w:tabs>
        <w:tab w:val="center" w:pos="4153"/>
        <w:tab w:val="right" w:pos="8306"/>
      </w:tabs>
    </w:pPr>
  </w:style>
  <w:style w:type="character" w:customStyle="1" w:styleId="EncabezadoCar">
    <w:name w:val="Encabezado Car"/>
    <w:link w:val="Encabezado"/>
    <w:rPr>
      <w:color w:val="000000"/>
      <w:lang w:val="en-GB" w:eastAsia="ja-JP" w:bidi="ar-SA"/>
    </w:rPr>
  </w:style>
  <w:style w:type="character" w:styleId="Hipervnculo">
    <w:name w:val="Hyperlink"/>
    <w:rsid w:val="00052D17"/>
    <w:rPr>
      <w:color w:val="0000FF"/>
      <w:u w:val="single"/>
    </w:rPr>
  </w:style>
  <w:style w:type="character" w:styleId="Hipervnculovisitado">
    <w:name w:val="FollowedHyperlink"/>
    <w:rsid w:val="00202C66"/>
    <w:rPr>
      <w:color w:val="800080"/>
      <w:u w:val="single"/>
    </w:rPr>
  </w:style>
  <w:style w:type="paragraph" w:styleId="Textodeglobo">
    <w:name w:val="Balloon Text"/>
    <w:basedOn w:val="Normal"/>
    <w:link w:val="TextodegloboCar"/>
    <w:rsid w:val="00BB60A1"/>
    <w:pPr>
      <w:spacing w:after="0"/>
    </w:pPr>
    <w:rPr>
      <w:rFonts w:ascii="Tahoma" w:hAnsi="Tahoma"/>
      <w:sz w:val="16"/>
      <w:szCs w:val="16"/>
    </w:rPr>
  </w:style>
  <w:style w:type="character" w:customStyle="1" w:styleId="TextodegloboCar">
    <w:name w:val="Texto de globo Car"/>
    <w:link w:val="Textodeglobo"/>
    <w:rsid w:val="00BB60A1"/>
    <w:rPr>
      <w:rFonts w:ascii="Tahoma" w:hAnsi="Tahoma" w:cs="Tahoma"/>
      <w:color w:val="000000"/>
      <w:sz w:val="16"/>
      <w:szCs w:val="16"/>
      <w:lang w:val="en-GB" w:eastAsia="ja-JP"/>
    </w:rPr>
  </w:style>
  <w:style w:type="table" w:styleId="Tablaconcuadrcula">
    <w:name w:val="Table Grid"/>
    <w:basedOn w:val="Tabla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C505BB"/>
    <w:rPr>
      <w:sz w:val="16"/>
      <w:szCs w:val="16"/>
    </w:rPr>
  </w:style>
  <w:style w:type="paragraph" w:styleId="Textocomentario">
    <w:name w:val="annotation text"/>
    <w:basedOn w:val="Normal"/>
    <w:link w:val="TextocomentarioCar"/>
    <w:rsid w:val="00C505BB"/>
  </w:style>
  <w:style w:type="character" w:customStyle="1" w:styleId="TextocomentarioCar">
    <w:name w:val="Texto comentario Car"/>
    <w:link w:val="Textocomentario"/>
    <w:rsid w:val="00C505BB"/>
    <w:rPr>
      <w:color w:val="000000"/>
      <w:lang w:val="en-GB" w:eastAsia="ja-JP"/>
    </w:rPr>
  </w:style>
  <w:style w:type="paragraph" w:styleId="Asuntodelcomentario">
    <w:name w:val="annotation subject"/>
    <w:basedOn w:val="Textocomentario"/>
    <w:next w:val="Textocomentario"/>
    <w:link w:val="AsuntodelcomentarioCar"/>
    <w:rsid w:val="00C505BB"/>
    <w:rPr>
      <w:b/>
      <w:bCs/>
    </w:rPr>
  </w:style>
  <w:style w:type="character" w:customStyle="1" w:styleId="AsuntodelcomentarioCar">
    <w:name w:val="Asunto del comentario Car"/>
    <w:link w:val="Asuntodelcomentario"/>
    <w:rsid w:val="00C505BB"/>
    <w:rPr>
      <w:b/>
      <w:bCs/>
      <w:color w:val="000000"/>
      <w:lang w:val="en-GB" w:eastAsia="ja-JP"/>
    </w:rPr>
  </w:style>
  <w:style w:type="character" w:styleId="nfasis">
    <w:name w:val="Emphasis"/>
    <w:qFormat/>
    <w:rsid w:val="007E5548"/>
    <w:rPr>
      <w:i/>
      <w:iCs/>
    </w:rPr>
  </w:style>
  <w:style w:type="paragraph" w:styleId="Textonotapie">
    <w:name w:val="footnote text"/>
    <w:basedOn w:val="Normal"/>
    <w:link w:val="TextonotapieCar"/>
    <w:rsid w:val="00B349A8"/>
  </w:style>
  <w:style w:type="character" w:customStyle="1" w:styleId="TextonotapieCar">
    <w:name w:val="Texto nota pie Car"/>
    <w:link w:val="Textonotapie"/>
    <w:rsid w:val="00B349A8"/>
    <w:rPr>
      <w:color w:val="000000"/>
      <w:lang w:val="en-GB" w:eastAsia="ja-JP"/>
    </w:rPr>
  </w:style>
  <w:style w:type="paragraph" w:styleId="Prrafodelista">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n">
    <w:name w:val="Revision"/>
    <w:hidden/>
    <w:uiPriority w:val="99"/>
    <w:semiHidden/>
    <w:rsid w:val="00943096"/>
    <w:rPr>
      <w:color w:val="000000"/>
      <w:lang w:val="en-GB" w:eastAsia="ja-JP"/>
    </w:rPr>
  </w:style>
  <w:style w:type="paragraph" w:customStyle="1" w:styleId="NOn">
    <w:name w:val="NOn"/>
    <w:basedOn w:val="B1"/>
    <w:rsid w:val="00943096"/>
  </w:style>
  <w:style w:type="character" w:styleId="Ttulodellibro">
    <w:name w:val="Book Title"/>
    <w:uiPriority w:val="33"/>
    <w:qFormat/>
    <w:rsid w:val="00C15FFF"/>
    <w:rPr>
      <w:b/>
      <w:bCs/>
      <w:smallCaps/>
      <w:spacing w:val="5"/>
    </w:rPr>
  </w:style>
  <w:style w:type="paragraph" w:styleId="Textoindependiente">
    <w:name w:val="Body Text"/>
    <w:basedOn w:val="Normal"/>
    <w:link w:val="TextoindependienteCar"/>
    <w:rsid w:val="00C15FFF"/>
    <w:pPr>
      <w:spacing w:after="120"/>
    </w:pPr>
  </w:style>
  <w:style w:type="character" w:customStyle="1" w:styleId="TextoindependienteCar">
    <w:name w:val="Texto independiente Car"/>
    <w:link w:val="Textoindependiente"/>
    <w:rsid w:val="00C15FFF"/>
    <w:rPr>
      <w:color w:val="000000"/>
      <w:lang w:val="en-GB" w:eastAsia="ja-JP"/>
    </w:rPr>
  </w:style>
  <w:style w:type="character" w:styleId="Textoennegrita">
    <w:name w:val="Strong"/>
    <w:qFormat/>
    <w:rsid w:val="00BC29B4"/>
    <w:rPr>
      <w:b/>
      <w:bCs/>
    </w:rPr>
  </w:style>
  <w:style w:type="paragraph" w:styleId="Textosinformato">
    <w:name w:val="Plain Text"/>
    <w:basedOn w:val="Normal"/>
    <w:link w:val="TextosinformatoCar"/>
    <w:rsid w:val="00C96C41"/>
    <w:pPr>
      <w:overflowPunct/>
      <w:autoSpaceDE/>
      <w:autoSpaceDN/>
      <w:adjustRightInd/>
      <w:textAlignment w:val="auto"/>
    </w:pPr>
    <w:rPr>
      <w:rFonts w:ascii="Courier New" w:hAnsi="Courier New"/>
      <w:color w:val="auto"/>
      <w:lang w:val="nb-NO" w:eastAsia="x-none"/>
    </w:rPr>
  </w:style>
  <w:style w:type="character" w:customStyle="1" w:styleId="TextosinformatoCar">
    <w:name w:val="Texto sin formato Car"/>
    <w:link w:val="Textosinformato"/>
    <w:rsid w:val="00C96C41"/>
    <w:rPr>
      <w:rFonts w:ascii="Courier New" w:hAnsi="Courier New"/>
      <w:lang w:val="nb-NO"/>
    </w:rPr>
  </w:style>
  <w:style w:type="character" w:styleId="Mencinsinresolver">
    <w:name w:val="Unresolved Mention"/>
    <w:uiPriority w:val="99"/>
    <w:semiHidden/>
    <w:unhideWhenUsed/>
    <w:rsid w:val="004C0033"/>
    <w:rPr>
      <w:color w:val="808080"/>
      <w:shd w:val="clear" w:color="auto" w:fill="E6E6E6"/>
    </w:rPr>
  </w:style>
  <w:style w:type="paragraph" w:styleId="Descripci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Ttulo4Car">
    <w:name w:val="Título 4 Car"/>
    <w:link w:val="Ttulo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paragraph" w:customStyle="1" w:styleId="N1">
    <w:name w:val="N1"/>
    <w:basedOn w:val="Normal"/>
    <w:link w:val="N1Char"/>
    <w:qFormat/>
    <w:rsid w:val="00860217"/>
    <w:pPr>
      <w:overflowPunct/>
      <w:autoSpaceDE/>
      <w:autoSpaceDN/>
      <w:adjustRightInd/>
      <w:spacing w:after="0"/>
      <w:ind w:left="634"/>
      <w:textAlignment w:val="auto"/>
    </w:pPr>
    <w:rPr>
      <w:rFonts w:ascii="Calibri" w:eastAsia="Malgun Gothic" w:hAnsi="Calibri" w:cs="Calibri"/>
      <w:color w:val="auto"/>
      <w:sz w:val="22"/>
      <w:szCs w:val="22"/>
      <w:lang w:val="en-US" w:eastAsia="ko-KR" w:bidi="hi-IN"/>
    </w:rPr>
  </w:style>
  <w:style w:type="character" w:customStyle="1" w:styleId="N1Char">
    <w:name w:val="N1 Char"/>
    <w:link w:val="N1"/>
    <w:locked/>
    <w:rsid w:val="00860217"/>
    <w:rPr>
      <w:rFonts w:ascii="Calibri" w:eastAsia="Malgun Gothic" w:hAnsi="Calibri" w:cs="Calibri"/>
      <w:sz w:val="22"/>
      <w:szCs w:val="22"/>
      <w:lang w:eastAsia="ko-KR" w:bidi="hi-IN"/>
    </w:rPr>
  </w:style>
  <w:style w:type="paragraph" w:customStyle="1" w:styleId="NormalLeft1cm">
    <w:name w:val="Normal + Left:  1 cm"/>
    <w:aliases w:val="First line:  0.5 cm,After:  0 pt"/>
    <w:basedOn w:val="Normal"/>
    <w:rsid w:val="00ED2CBB"/>
    <w:pPr>
      <w:spacing w:after="0"/>
      <w:ind w:left="1134" w:firstLine="2268"/>
    </w:pPr>
    <w:rPr>
      <w:rFonts w:eastAsia="SimSun"/>
      <w:color w:val="auto"/>
      <w:lang w:eastAsia="en-GB"/>
    </w:rPr>
  </w:style>
  <w:style w:type="paragraph" w:styleId="ndice1">
    <w:name w:val="index 1"/>
    <w:basedOn w:val="Normal"/>
    <w:autoRedefine/>
    <w:unhideWhenUsed/>
    <w:rsid w:val="00E327B4"/>
    <w:pPr>
      <w:keepLines/>
      <w:spacing w:after="0"/>
      <w:textAlignment w:val="auto"/>
    </w:pPr>
    <w:rPr>
      <w:color w:val="auto"/>
      <w:lang w:eastAsia="en-US"/>
    </w:rPr>
  </w:style>
  <w:style w:type="character" w:customStyle="1" w:styleId="cf01">
    <w:name w:val="cf01"/>
    <w:rsid w:val="00364806"/>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836967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0380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8350209">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61356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4987742">
      <w:bodyDiv w:val="1"/>
      <w:marLeft w:val="0"/>
      <w:marRight w:val="0"/>
      <w:marTop w:val="0"/>
      <w:marBottom w:val="0"/>
      <w:divBdr>
        <w:top w:val="none" w:sz="0" w:space="0" w:color="auto"/>
        <w:left w:val="none" w:sz="0" w:space="0" w:color="auto"/>
        <w:bottom w:val="none" w:sz="0" w:space="0" w:color="auto"/>
        <w:right w:val="none" w:sz="0" w:space="0" w:color="auto"/>
      </w:divBdr>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TSG_SA/TSGS_106_Madrid_2024-12/Docs/SP-2419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4FBCD9B7-7614-42E3-8067-156698B833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6.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7.xml><?xml version="1.0" encoding="utf-8"?>
<ds:datastoreItem xmlns:ds="http://schemas.openxmlformats.org/officeDocument/2006/customXml" ds:itemID="{658BA9CF-381B-4796-92D0-9AFF0648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1280</Words>
  <Characters>7042</Characters>
  <Application>Microsoft Office Word</Application>
  <DocSecurity>0</DocSecurity>
  <Lines>58</Lines>
  <Paragraphs>16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8306</CharactersWithSpaces>
  <SharedDoc>false</SharedDoc>
  <HLinks>
    <vt:vector size="18" baseType="variant">
      <vt:variant>
        <vt:i4>852031</vt:i4>
      </vt:variant>
      <vt:variant>
        <vt:i4>9</vt:i4>
      </vt:variant>
      <vt:variant>
        <vt:i4>0</vt:i4>
      </vt:variant>
      <vt:variant>
        <vt:i4>5</vt:i4>
      </vt:variant>
      <vt:variant>
        <vt:lpwstr>https://www.3gpp.org/ftp/tsg_sa/WG2_Arch/TSGS2_164_Maastricht_2024-08/Docs/S2-2409403.zip</vt:lpwstr>
      </vt:variant>
      <vt:variant>
        <vt:lpwstr/>
      </vt:variant>
      <vt:variant>
        <vt:i4>5111901</vt:i4>
      </vt:variant>
      <vt:variant>
        <vt:i4>6</vt:i4>
      </vt:variant>
      <vt:variant>
        <vt:i4>0</vt:i4>
      </vt:variant>
      <vt:variant>
        <vt:i4>5</vt:i4>
      </vt:variant>
      <vt:variant>
        <vt:lpwstr>https://www.3gpp.org/ftp/tsg_sa/WG2_Arch/TSGS2_165_Hyderabad_2024-10/INBOX/DRAFTS/Rel-19_5GSAT_Ph3_Arch/draft-S2-240XXXX_DiscussionPaper_handling of request time in S%26F.docx</vt:lpwstr>
      </vt:variant>
      <vt:variant>
        <vt:lpwstr/>
      </vt:variant>
      <vt:variant>
        <vt:i4>852031</vt:i4>
      </vt:variant>
      <vt:variant>
        <vt:i4>0</vt:i4>
      </vt:variant>
      <vt:variant>
        <vt:i4>0</vt:i4>
      </vt:variant>
      <vt:variant>
        <vt:i4>5</vt:i4>
      </vt:variant>
      <vt:variant>
        <vt:lpwstr>https://www.3gpp.org/ftp/tsg_sa/WG2_Arch/TSGS2_164_Maastricht_2024-08/Docs/S2-2409403.zip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Sateliot</cp:lastModifiedBy>
  <cp:revision>17</cp:revision>
  <cp:lastPrinted>2014-09-10T09:04:00Z</cp:lastPrinted>
  <dcterms:created xsi:type="dcterms:W3CDTF">2024-10-30T20:03:00Z</dcterms:created>
  <dcterms:modified xsi:type="dcterms:W3CDTF">2025-01-14T16:08:00Z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